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B3A6B"/>
          <w:sz w:val="40"/>
          <w:szCs w:val="40"/>
        </w:rPr>
        <w:t xml:space="preserve">PLATFORM SECURITY CAPABILITY ASSESSMENT</w:t>
      </w:r>
    </w:p>
    <w:p>
      <w:pPr>
        <w:spacing w:after="120" w:before="0"/>
        <w:jc w:val="center"/>
      </w:pPr>
      <w:r>
        <w:rPr>
          <w:rFonts w:ascii="Arial" w:cs="Arial" w:eastAsia="Arial" w:hAnsi="Arial"/>
          <w:b/>
          <w:bCs/>
          <w:color w:val="2E75B6"/>
          <w:sz w:val="32"/>
          <w:szCs w:val="32"/>
        </w:rPr>
        <w:t xml:space="preserve">Salesforce Service Cloud Voice (SCV)</w:t>
      </w:r>
    </w:p>
    <w:p>
      <w:pPr>
        <w:spacing w:after="80" w:before="0"/>
        <w:jc w:val="center"/>
      </w:pPr>
      <w:r>
        <w:rPr>
          <w:rFonts w:ascii="Arial" w:cs="Arial" w:eastAsia="Arial" w:hAnsi="Arial"/>
          <w:color w:val="595959"/>
          <w:sz w:val="26"/>
          <w:szCs w:val="26"/>
        </w:rPr>
        <w:t xml:space="preserve">with Genesys CCAS Integration</w:t>
      </w:r>
    </w:p>
    <w:p>
      <w:pPr>
        <w:spacing w:after="0" w:before="240"/>
      </w:pPr>
    </w:p>
    <w:p>
      <w:pPr>
        <w:pBdr>
          <w:bottom w:val="single" w:color="2E75B6" w:sz="6" w:space="1"/>
        </w:pBdr>
        <w:spacing w:after="320" w:before="0"/>
        <w:jc w:val="center"/>
      </w:pPr>
    </w:p>
    <w:p>
      <w:pPr>
        <w:spacing w:after="0" w:before="120"/>
      </w:pP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Document Type</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595959"/>
                <w:sz w:val="20"/>
                <w:szCs w:val="20"/>
              </w:rPr>
              <w:t xml:space="preserve">Security Architecture Assessment</w:t>
            </w:r>
          </w:p>
        </w:tc>
      </w:tr>
      <w:tr>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Classification</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595959"/>
                <w:sz w:val="20"/>
                <w:szCs w:val="20"/>
              </w:rPr>
              <w:t xml:space="preserve">CONFIDENTIAL – INTERNAL USE ONLY</w:t>
            </w:r>
          </w:p>
        </w:tc>
      </w:tr>
      <w:tr>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Prepared By</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595959"/>
                <w:sz w:val="20"/>
                <w:szCs w:val="20"/>
              </w:rPr>
              <w:t xml:space="preserve">Security Architecture Team</w:t>
            </w:r>
          </w:p>
        </w:tc>
      </w:tr>
      <w:tr>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Review Date</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595959"/>
                <w:sz w:val="20"/>
                <w:szCs w:val="20"/>
              </w:rPr>
              <w:t xml:space="preserve">May 2026</w:t>
            </w:r>
          </w:p>
        </w:tc>
      </w:tr>
      <w:tr>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595959"/>
                <w:sz w:val="20"/>
                <w:szCs w:val="20"/>
              </w:rPr>
              <w:t xml:space="preserve">1.0</w:t>
            </w:r>
          </w:p>
        </w:tc>
      </w:tr>
    </w:tbl>
    <w:p>
      <w:r>
        <w:br w:type="page"/>
      </w:r>
    </w:p>
    <w:p>
      <w:pPr>
        <w:pStyle w:val="Heading1"/>
      </w:pPr>
      <w:r>
        <w:rPr>
          <w:rFonts w:ascii="Arial" w:cs="Arial" w:eastAsia="Arial" w:hAnsi="Arial"/>
          <w:b/>
          <w:bCs/>
          <w:color w:val="FFFFFF"/>
          <w:sz w:val="28"/>
          <w:szCs w:val="28"/>
        </w:rPr>
        <w:t xml:space="preserve">1.  Executive Summary</w:t>
      </w:r>
    </w:p>
    <w:p>
      <w:pPr>
        <w:spacing w:after="0" w:before="80"/>
      </w:pPr>
    </w:p>
    <w:p>
      <w:pPr>
        <w:spacing w:after="80" w:before="80"/>
      </w:pPr>
      <w:r>
        <w:rPr>
          <w:rFonts w:ascii="Arial" w:cs="Arial" w:eastAsia="Arial" w:hAnsi="Arial"/>
          <w:color w:val="595959"/>
          <w:sz w:val="20"/>
          <w:szCs w:val="20"/>
        </w:rPr>
        <w:t xml:space="preserve">This document presents a comprehensive platform-level security capability assessment for the migration from Salesforce CTI to Salesforce Service Cloud Voice (SCV) integrated with Genesys Cloud CX (CCAS). The assessment identifies security capabilities across nine domains and highlights deficiencies that must be remediated before or during the production rollout.</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BFBFBF" w:sz="1"/>
              <w:left w:val="single" w:color="BFBFBF" w:sz="1"/>
              <w:bottom w:val="single" w:color="BFBFBF" w:sz="1"/>
              <w:right w:val="single" w:color="BFBFBF" w:sz="1"/>
            </w:tcBorders>
            <w:shd w:fill="D6E4F0" w:val="clear"/>
            <w:tcMar>
              <w:top w:type="dxa" w:w="120"/>
              <w:left w:type="dxa" w:w="180"/>
              <w:bottom w:type="dxa" w:w="120"/>
              <w:right w:type="dxa" w:w="180"/>
            </w:tcMar>
          </w:tcPr>
          <w:p>
            <w:pPr>
              <w:spacing w:after="40" w:before="40"/>
            </w:pPr>
            <w:r>
              <w:rPr>
                <w:rFonts w:ascii="Arial" w:cs="Arial" w:eastAsia="Arial" w:hAnsi="Arial"/>
                <w:color w:val="1B3A6B"/>
                <w:sz w:val="19"/>
                <w:szCs w:val="19"/>
              </w:rPr>
              <w:t xml:space="preserve">Scope:  Salesforce Service Cloud Voice (SCV) + Genesys CCAS + AWS Connect backbone</w:t>
            </w:r>
          </w:p>
          <w:p>
            <w:pPr>
              <w:spacing w:after="40" w:before="40"/>
            </w:pPr>
            <w:r>
              <w:rPr>
                <w:rFonts w:ascii="Arial" w:cs="Arial" w:eastAsia="Arial" w:hAnsi="Arial"/>
                <w:color w:val="1B3A6B"/>
                <w:sz w:val="19"/>
                <w:szCs w:val="19"/>
              </w:rPr>
              <w:t xml:space="preserve">Assessment Framework:  NIST CSF 2.0 | CIS Controls v8 | Salesforce Shared Responsibility Model</w:t>
            </w:r>
          </w:p>
          <w:p>
            <w:pPr>
              <w:spacing w:after="40" w:before="40"/>
            </w:pPr>
            <w:r>
              <w:rPr>
                <w:rFonts w:ascii="Arial" w:cs="Arial" w:eastAsia="Arial" w:hAnsi="Arial"/>
                <w:color w:val="1B3A6B"/>
                <w:sz w:val="19"/>
                <w:szCs w:val="19"/>
              </w:rPr>
              <w:t xml:space="preserve">Transition From:  Salesforce CTI (Open CTI / CTI Adapter pattern)</w:t>
            </w:r>
          </w:p>
          <w:p>
            <w:pPr>
              <w:spacing w:after="40" w:before="40"/>
            </w:pPr>
            <w:r>
              <w:rPr>
                <w:rFonts w:ascii="Arial" w:cs="Arial" w:eastAsia="Arial" w:hAnsi="Arial"/>
                <w:color w:val="1B3A6B"/>
                <w:sz w:val="19"/>
                <w:szCs w:val="19"/>
              </w:rPr>
              <w:t xml:space="preserve">Transition To:     Salesforce SCV with Genesys CCAS as Bring-Your-Own-Telephony (BYOT) partner</w:t>
            </w:r>
          </w:p>
        </w:tc>
      </w:tr>
    </w:tbl>
    <w:p>
      <w:pPr>
        <w:spacing w:after="0" w:before="120"/>
      </w:pPr>
    </w:p>
    <w:p>
      <w:pPr>
        <w:spacing w:after="80" w:before="80"/>
      </w:pPr>
      <w:r>
        <w:rPr>
          <w:rFonts w:ascii="Arial" w:cs="Arial" w:eastAsia="Arial" w:hAnsi="Arial"/>
          <w:color w:val="595959"/>
          <w:sz w:val="20"/>
          <w:szCs w:val="20"/>
        </w:rPr>
        <w:t xml:space="preserve">Key findings:</w:t>
      </w:r>
    </w:p>
    <w:p>
      <w:pPr>
        <w:pStyle w:val="ListParagraph"/>
        <w:numPr>
          <w:ilvl w:val="0"/>
          <w:numId w:val="2"/>
        </w:numPr>
        <w:spacing w:after="40" w:before="40"/>
      </w:pPr>
      <w:r>
        <w:rPr>
          <w:rFonts w:ascii="Arial" w:cs="Arial" w:eastAsia="Arial" w:hAnsi="Arial"/>
          <w:b w:val="false"/>
          <w:bCs w:val="false"/>
          <w:color w:val="595959"/>
          <w:sz w:val="20"/>
          <w:szCs w:val="20"/>
        </w:rPr>
        <w:t xml:space="preserve">SCV's native IAM (Named Credentials, Connected Apps, Permission Sets) is mature but requires explicit hardening for BYOT scenarios.</w:t>
      </w:r>
    </w:p>
    <w:p>
      <w:pPr>
        <w:pStyle w:val="ListParagraph"/>
        <w:numPr>
          <w:ilvl w:val="0"/>
          <w:numId w:val="2"/>
        </w:numPr>
        <w:spacing w:after="40" w:before="40"/>
      </w:pPr>
      <w:r>
        <w:rPr>
          <w:rFonts w:ascii="Arial" w:cs="Arial" w:eastAsia="Arial" w:hAnsi="Arial"/>
          <w:b w:val="false"/>
          <w:bCs w:val="false"/>
          <w:color w:val="595959"/>
          <w:sz w:val="20"/>
          <w:szCs w:val="20"/>
        </w:rPr>
        <w:t xml:space="preserve">Voice media streams transmitted via Amazon Connect introduce cross-cloud data flows that demand TLS 1.2+ enforcement and network-layer controls not enabled by default.</w:t>
      </w:r>
    </w:p>
    <w:p>
      <w:pPr>
        <w:pStyle w:val="ListParagraph"/>
        <w:numPr>
          <w:ilvl w:val="0"/>
          <w:numId w:val="2"/>
        </w:numPr>
        <w:spacing w:after="40" w:before="40"/>
      </w:pPr>
      <w:r>
        <w:rPr>
          <w:rFonts w:ascii="Arial" w:cs="Arial" w:eastAsia="Arial" w:hAnsi="Arial"/>
          <w:b w:val="false"/>
          <w:bCs w:val="false"/>
          <w:color w:val="595959"/>
          <w:sz w:val="20"/>
          <w:szCs w:val="20"/>
        </w:rPr>
        <w:t xml:space="preserve">Real-time transcription via Einstein AI creates residual data in Salesforce orgs; data classification and retention policies are DEFICIENT out-of-the-box.</w:t>
      </w:r>
    </w:p>
    <w:p>
      <w:pPr>
        <w:pStyle w:val="ListParagraph"/>
        <w:numPr>
          <w:ilvl w:val="0"/>
          <w:numId w:val="2"/>
        </w:numPr>
        <w:spacing w:after="40" w:before="40"/>
      </w:pPr>
      <w:r>
        <w:rPr>
          <w:rFonts w:ascii="Arial" w:cs="Arial" w:eastAsia="Arial" w:hAnsi="Arial"/>
          <w:b w:val="false"/>
          <w:bCs w:val="false"/>
          <w:color w:val="595959"/>
          <w:sz w:val="20"/>
          <w:szCs w:val="20"/>
        </w:rPr>
        <w:t xml:space="preserve">Genesys CCAS ↔ Salesforce event-bridge integration relies on OAuth 2.0 client credentials; secret rotation and mutual TLS are NOT enforced by default.</w:t>
      </w:r>
    </w:p>
    <w:p>
      <w:pPr>
        <w:pStyle w:val="ListParagraph"/>
        <w:numPr>
          <w:ilvl w:val="0"/>
          <w:numId w:val="2"/>
        </w:numPr>
        <w:spacing w:after="40" w:before="40"/>
      </w:pPr>
      <w:r>
        <w:rPr>
          <w:rFonts w:ascii="Arial" w:cs="Arial" w:eastAsia="Arial" w:hAnsi="Arial"/>
          <w:b w:val="false"/>
          <w:bCs w:val="false"/>
          <w:color w:val="595959"/>
          <w:sz w:val="20"/>
          <w:szCs w:val="20"/>
        </w:rPr>
        <w:t xml:space="preserve">Logging of telephony events, SIP signalling, and screen-pop activities is fragmented across three platforms (Genesys, AWS, Salesforce); a unified SIEM pipeline must be engineered.</w:t>
      </w:r>
    </w:p>
    <w:p>
      <w:pPr>
        <w:spacing w:after="0" w:before="160"/>
      </w:pPr>
    </w:p>
    <w:p>
      <w:pPr>
        <w:pStyle w:val="Heading1"/>
      </w:pPr>
      <w:r>
        <w:rPr>
          <w:rFonts w:ascii="Arial" w:cs="Arial" w:eastAsia="Arial" w:hAnsi="Arial"/>
          <w:b/>
          <w:bCs/>
          <w:color w:val="FFFFFF"/>
          <w:sz w:val="28"/>
          <w:szCs w:val="28"/>
        </w:rPr>
        <w:t xml:space="preserve">2.  Core Platform Components &amp; Security Relevance</w:t>
      </w:r>
    </w:p>
    <w:p>
      <w:pPr>
        <w:spacing w:after="0" w:before="80"/>
      </w:pPr>
    </w:p>
    <w:p>
      <w:pPr>
        <w:spacing w:after="80" w:before="80"/>
      </w:pPr>
      <w:r>
        <w:rPr>
          <w:rFonts w:ascii="Arial" w:cs="Arial" w:eastAsia="Arial" w:hAnsi="Arial"/>
          <w:color w:val="595959"/>
          <w:sz w:val="20"/>
          <w:szCs w:val="20"/>
        </w:rPr>
        <w:t xml:space="preserve">Salesforce Service Cloud Voice combines three distinct platform tiers, each carrying its own security surface:</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00"/>
        <w:gridCol w:w="2200"/>
      </w:tblGrid>
      <w:tr>
        <w:trPr>
          <w:tblHeader/>
        </w:trPr>
        <w:tc>
          <w:tcPr>
            <w:tcW w:type="dxa" w:w="19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6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Platform / Vendor</w:t>
            </w:r>
          </w:p>
        </w:tc>
        <w:tc>
          <w:tcPr>
            <w:tcW w:type="dxa" w:w="24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 in SCV</w:t>
            </w:r>
          </w:p>
        </w:tc>
        <w:tc>
          <w:tcPr>
            <w:tcW w:type="dxa" w:w="22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Primary Security Surface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Salesforce Service Cloud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Salesforce (multi-tenant SaaS)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CRM + Agent Console + Case Management + Einstein AI Transcription</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IAM, API security, data residency, org-level config</w:t>
            </w:r>
          </w:p>
        </w:tc>
      </w:tr>
      <w:tr>
        <w:tc>
          <w:tcPr>
            <w:tcW w:type="dxa" w:w="19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Amazon Connect (backbone)</w:t>
            </w:r>
          </w:p>
        </w:tc>
        <w:tc>
          <w:tcPr>
            <w:tcW w:type="dxa" w:w="2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AWS (managed service)</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Telephony infrastructure, media handling, voice routing (underlying SCV native)</w:t>
            </w:r>
          </w:p>
        </w:tc>
        <w:tc>
          <w:tcPr>
            <w:tcW w:type="dxa" w:w="22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AWS IAM, VPC, KMS encryption, CloudTrail logging</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Genesys Cloud CX (CCAS)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Genesys (BYOT partner)</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PSTN access, ACD/IVR, call routing, wrap-up, supervisor tools</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OAuth 2.0 federation, SIP TLS, SRTP, Genesys RBAC</w:t>
            </w:r>
          </w:p>
        </w:tc>
      </w:tr>
      <w:tr>
        <w:tc>
          <w:tcPr>
            <w:tcW w:type="dxa" w:w="19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SCV Telephony Connector</w:t>
            </w:r>
          </w:p>
        </w:tc>
        <w:tc>
          <w:tcPr>
            <w:tcW w:type="dxa" w:w="2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Salesforce + Partner SDK</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Event bridge between Genesys CCAS and Salesforce SCV</w:t>
            </w:r>
          </w:p>
        </w:tc>
        <w:tc>
          <w:tcPr>
            <w:tcW w:type="dxa" w:w="22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Token lifecycle, webhook security, payload integrity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Einstein Voice Intelligence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Salesforce Einstein (AI)</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Real-time transcription, sentiment, summarisation</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Data residency, model input/output classification, PII scrubbing</w:t>
            </w:r>
          </w:p>
        </w:tc>
      </w:tr>
      <w:tr>
        <w:tc>
          <w:tcPr>
            <w:tcW w:type="dxa" w:w="19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Omni-Channel Supervisor</w:t>
            </w:r>
          </w:p>
        </w:tc>
        <w:tc>
          <w:tcPr>
            <w:tcW w:type="dxa" w:w="2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Salesforce</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Agent state management, queue monitoring</w:t>
            </w:r>
          </w:p>
        </w:tc>
        <w:tc>
          <w:tcPr>
            <w:tcW w:type="dxa" w:w="22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color w:val="595959"/>
                <w:sz w:val="18"/>
                <w:szCs w:val="18"/>
              </w:rPr>
              <w:t xml:space="preserve">Privilege separation, supervisor role elevation</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Lightning Agent Console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Salesforce (browser)</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Primary agent UI (screen pops, CTI controls, case wrap-up)</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XSS/CSRF, browser extension risk, session hijacking</w:t>
            </w:r>
          </w:p>
        </w:tc>
      </w:tr>
    </w:tbl>
    <w:p>
      <w:r>
        <w:br w:type="page"/>
      </w:r>
    </w:p>
    <w:p>
      <w:pPr>
        <w:pStyle w:val="Heading1"/>
      </w:pPr>
      <w:r>
        <w:rPr>
          <w:rFonts w:ascii="Arial" w:cs="Arial" w:eastAsia="Arial" w:hAnsi="Arial"/>
          <w:b/>
          <w:bCs/>
          <w:color w:val="FFFFFF"/>
          <w:sz w:val="28"/>
          <w:szCs w:val="28"/>
        </w:rPr>
        <w:t xml:space="preserve">3.  Architecture Overview</w:t>
      </w:r>
    </w:p>
    <w:p>
      <w:pPr>
        <w:spacing w:after="0" w:before="80"/>
      </w:pPr>
    </w:p>
    <w:p>
      <w:pPr>
        <w:pStyle w:val="Heading2"/>
      </w:pPr>
      <w:r>
        <w:rPr>
          <w:rFonts w:ascii="Arial" w:cs="Arial" w:eastAsia="Arial" w:hAnsi="Arial"/>
          <w:b/>
          <w:bCs/>
          <w:color w:val="1B3A6B"/>
          <w:sz w:val="24"/>
          <w:szCs w:val="24"/>
        </w:rPr>
        <w:t xml:space="preserve">3.1  High-Level Data &amp; Control Flow</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BFBFBF" w:sz="1"/>
              <w:left w:val="single" w:color="BFBFBF" w:sz="1"/>
              <w:bottom w:val="single" w:color="BFBFBF" w:sz="1"/>
              <w:right w:val="single" w:color="BFBFBF" w:sz="1"/>
            </w:tcBorders>
            <w:shd w:fill="D6E4F0" w:val="clear"/>
            <w:tcMar>
              <w:top w:type="dxa" w:w="120"/>
              <w:left w:type="dxa" w:w="180"/>
              <w:bottom w:type="dxa" w:w="120"/>
              <w:right w:type="dxa" w:w="180"/>
            </w:tcMar>
          </w:tcPr>
          <w:p>
            <w:pPr>
              <w:spacing w:after="40" w:before="40"/>
            </w:pPr>
            <w:r>
              <w:rPr>
                <w:rFonts w:ascii="Arial" w:cs="Arial" w:eastAsia="Arial" w:hAnsi="Arial"/>
                <w:color w:val="1B3A6B"/>
                <w:sz w:val="19"/>
                <w:szCs w:val="19"/>
              </w:rPr>
              <w:t xml:space="preserve">PSTN / Caller</w:t>
            </w:r>
          </w:p>
          <w:p>
            <w:pPr>
              <w:spacing w:after="40" w:before="40"/>
            </w:pPr>
            <w:r>
              <w:rPr>
                <w:rFonts w:ascii="Arial" w:cs="Arial" w:eastAsia="Arial" w:hAnsi="Arial"/>
                <w:color w:val="1B3A6B"/>
                <w:sz w:val="19"/>
                <w:szCs w:val="19"/>
              </w:rPr>
              <w:t xml:space="preserve">    ↓  SIP TLS / SRTP</w:t>
            </w:r>
          </w:p>
          <w:p>
            <w:pPr>
              <w:spacing w:after="40" w:before="40"/>
            </w:pPr>
            <w:r>
              <w:rPr>
                <w:rFonts w:ascii="Arial" w:cs="Arial" w:eastAsia="Arial" w:hAnsi="Arial"/>
                <w:color w:val="1B3A6B"/>
                <w:sz w:val="19"/>
                <w:szCs w:val="19"/>
              </w:rPr>
              <w:t xml:space="preserve">Genesys Cloud CX (CCAS)   ←─── IVR / ACD / Routing logic</w:t>
            </w:r>
          </w:p>
          <w:p>
            <w:pPr>
              <w:spacing w:after="40" w:before="40"/>
            </w:pPr>
            <w:r>
              <w:rPr>
                <w:rFonts w:ascii="Arial" w:cs="Arial" w:eastAsia="Arial" w:hAnsi="Arial"/>
                <w:color w:val="1B3A6B"/>
                <w:sz w:val="19"/>
                <w:szCs w:val="19"/>
              </w:rPr>
              <w:t xml:space="preserve">    ↓  HTTPS (REST events)  +  Amazon Connect Media Stream</w:t>
            </w:r>
          </w:p>
          <w:p>
            <w:pPr>
              <w:spacing w:after="40" w:before="40"/>
            </w:pPr>
            <w:r>
              <w:rPr>
                <w:rFonts w:ascii="Arial" w:cs="Arial" w:eastAsia="Arial" w:hAnsi="Arial"/>
                <w:color w:val="1B3A6B"/>
                <w:sz w:val="19"/>
                <w:szCs w:val="19"/>
              </w:rPr>
              <w:t xml:space="preserve">Salesforce SCV Telephony Connector  (OAuth 2.0 Client Credentials)</w:t>
            </w:r>
          </w:p>
          <w:p>
            <w:pPr>
              <w:spacing w:after="40" w:before="40"/>
            </w:pPr>
            <w:r>
              <w:rPr>
                <w:rFonts w:ascii="Arial" w:cs="Arial" w:eastAsia="Arial" w:hAnsi="Arial"/>
                <w:color w:val="1B3A6B"/>
                <w:sz w:val="19"/>
                <w:szCs w:val="19"/>
              </w:rPr>
              <w:t xml:space="preserve">    ↓</w:t>
            </w:r>
          </w:p>
          <w:p>
            <w:pPr>
              <w:spacing w:after="40" w:before="40"/>
            </w:pPr>
            <w:r>
              <w:rPr>
                <w:rFonts w:ascii="Arial" w:cs="Arial" w:eastAsia="Arial" w:hAnsi="Arial"/>
                <w:color w:val="1B3A6B"/>
                <w:sz w:val="19"/>
                <w:szCs w:val="19"/>
              </w:rPr>
              <w:t xml:space="preserve">Salesforce Service Cloud  [Agent Console | Einstein Transcription | Omni-Channel]</w:t>
            </w:r>
          </w:p>
          <w:p>
            <w:pPr>
              <w:spacing w:after="40" w:before="40"/>
            </w:pPr>
            <w:r>
              <w:rPr>
                <w:rFonts w:ascii="Arial" w:cs="Arial" w:eastAsia="Arial" w:hAnsi="Arial"/>
                <w:color w:val="1B3A6B"/>
                <w:sz w:val="19"/>
                <w:szCs w:val="19"/>
              </w:rPr>
              <w:t xml:space="preserve">    ↓  Named Credential / OAuth 2.0</w:t>
            </w:r>
          </w:p>
          <w:p>
            <w:pPr>
              <w:spacing w:after="40" w:before="40"/>
            </w:pPr>
            <w:r>
              <w:rPr>
                <w:rFonts w:ascii="Arial" w:cs="Arial" w:eastAsia="Arial" w:hAnsi="Arial"/>
                <w:color w:val="1B3A6B"/>
                <w:sz w:val="19"/>
                <w:szCs w:val="19"/>
              </w:rPr>
              <w:t xml:space="preserve">Back-end Systems  (ERP, Ticketing, Databases)</w:t>
            </w:r>
          </w:p>
        </w:tc>
      </w:tr>
    </w:tbl>
    <w:p>
      <w:pPr>
        <w:spacing w:after="0" w:before="120"/>
      </w:pPr>
    </w:p>
    <w:p>
      <w:pPr>
        <w:spacing w:after="80" w:before="80"/>
      </w:pPr>
      <w:r>
        <w:rPr>
          <w:rFonts w:ascii="Arial" w:cs="Arial" w:eastAsia="Arial" w:hAnsi="Arial"/>
          <w:color w:val="595959"/>
          <w:sz w:val="20"/>
          <w:szCs w:val="20"/>
        </w:rPr>
        <w:t xml:space="preserve">Security-relevant data flows:</w:t>
      </w:r>
    </w:p>
    <w:p>
      <w:pPr>
        <w:pStyle w:val="ListParagraph"/>
        <w:numPr>
          <w:ilvl w:val="0"/>
          <w:numId w:val="2"/>
        </w:numPr>
        <w:spacing w:after="40" w:before="40"/>
      </w:pPr>
      <w:r>
        <w:rPr>
          <w:rFonts w:ascii="Arial" w:cs="Arial" w:eastAsia="Arial" w:hAnsi="Arial"/>
          <w:b w:val="false"/>
          <w:bCs w:val="false"/>
          <w:color w:val="595959"/>
          <w:sz w:val="20"/>
          <w:szCs w:val="20"/>
        </w:rPr>
        <w:t xml:space="preserve">Voice media (RTP/SRTP): Caller ↔ Genesys ↔ Amazon Connect backbone. Salesforce does NOT handle raw audio unless Einstein transcription is enabled.</w:t>
      </w:r>
    </w:p>
    <w:p>
      <w:pPr>
        <w:pStyle w:val="ListParagraph"/>
        <w:numPr>
          <w:ilvl w:val="0"/>
          <w:numId w:val="2"/>
        </w:numPr>
        <w:spacing w:after="40" w:before="40"/>
      </w:pPr>
      <w:r>
        <w:rPr>
          <w:rFonts w:ascii="Arial" w:cs="Arial" w:eastAsia="Arial" w:hAnsi="Arial"/>
          <w:b w:val="false"/>
          <w:bCs w:val="false"/>
          <w:color w:val="595959"/>
          <w:sz w:val="20"/>
          <w:szCs w:val="20"/>
        </w:rPr>
        <w:t xml:space="preserve">Control events (call connected, transferred, ended): Genesys → SCV Connector → Salesforce via HTTPS REST.</w:t>
      </w:r>
    </w:p>
    <w:p>
      <w:pPr>
        <w:pStyle w:val="ListParagraph"/>
        <w:numPr>
          <w:ilvl w:val="0"/>
          <w:numId w:val="2"/>
        </w:numPr>
        <w:spacing w:after="40" w:before="40"/>
      </w:pPr>
      <w:r>
        <w:rPr>
          <w:rFonts w:ascii="Arial" w:cs="Arial" w:eastAsia="Arial" w:hAnsi="Arial"/>
          <w:b w:val="false"/>
          <w:bCs w:val="false"/>
          <w:color w:val="595959"/>
          <w:sz w:val="20"/>
          <w:szCs w:val="20"/>
        </w:rPr>
        <w:t xml:space="preserve">Transcription data: Amazon Connect Streams API → Einstein Speech → stored as VoiceCall record in Salesforce org.</w:t>
      </w:r>
    </w:p>
    <w:p>
      <w:pPr>
        <w:pStyle w:val="ListParagraph"/>
        <w:numPr>
          <w:ilvl w:val="0"/>
          <w:numId w:val="2"/>
        </w:numPr>
        <w:spacing w:after="40" w:before="40"/>
      </w:pPr>
      <w:r>
        <w:rPr>
          <w:rFonts w:ascii="Arial" w:cs="Arial" w:eastAsia="Arial" w:hAnsi="Arial"/>
          <w:b w:val="false"/>
          <w:bCs w:val="false"/>
          <w:color w:val="595959"/>
          <w:sz w:val="20"/>
          <w:szCs w:val="20"/>
        </w:rPr>
        <w:t xml:space="preserve">Screen-pop / agent state: Salesforce Omni-Channel realtime events → browser Lightning Console (WebSocket).</w:t>
      </w:r>
    </w:p>
    <w:p>
      <w:pPr>
        <w:pStyle w:val="ListParagraph"/>
        <w:numPr>
          <w:ilvl w:val="0"/>
          <w:numId w:val="2"/>
        </w:numPr>
        <w:spacing w:after="40" w:before="40"/>
      </w:pPr>
      <w:r>
        <w:rPr>
          <w:rFonts w:ascii="Arial" w:cs="Arial" w:eastAsia="Arial" w:hAnsi="Arial"/>
          <w:b w:val="false"/>
          <w:bCs w:val="false"/>
          <w:color w:val="595959"/>
          <w:sz w:val="20"/>
          <w:szCs w:val="20"/>
        </w:rPr>
        <w:t xml:space="preserve">Supervisor monitoring: Genesys supervisor API + Salesforce Omni Supervisor → distinct RBAC surfaces.</w:t>
      </w:r>
    </w:p>
    <w:p>
      <w:r>
        <w:br w:type="page"/>
      </w:r>
    </w:p>
    <w:p>
      <w:pPr>
        <w:pStyle w:val="Heading1"/>
      </w:pPr>
      <w:r>
        <w:rPr>
          <w:rFonts w:ascii="Arial" w:cs="Arial" w:eastAsia="Arial" w:hAnsi="Arial"/>
          <w:b/>
          <w:bCs/>
          <w:color w:val="FFFFFF"/>
          <w:sz w:val="28"/>
          <w:szCs w:val="28"/>
        </w:rPr>
        <w:t xml:space="preserve">4.  Identity &amp; Access Management (IAM)</w:t>
      </w:r>
    </w:p>
    <w:p>
      <w:pPr>
        <w:spacing w:after="0" w:before="80"/>
      </w:pPr>
    </w:p>
    <w:p>
      <w:pPr>
        <w:pStyle w:val="Heading2"/>
      </w:pPr>
      <w:r>
        <w:rPr>
          <w:rFonts w:ascii="Arial" w:cs="Arial" w:eastAsia="Arial" w:hAnsi="Arial"/>
          <w:b/>
          <w:bCs/>
          <w:color w:val="1B3A6B"/>
          <w:sz w:val="24"/>
          <w:szCs w:val="24"/>
        </w:rPr>
        <w:t xml:space="preserve">4.1  Authentication &amp; Authorization</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800"/>
        <w:gridCol w:w="1800"/>
      </w:tblGrid>
      <w:tr>
        <w:trPr>
          <w:tblHeader/>
        </w:trPr>
        <w:tc>
          <w:tcPr>
            <w:tcW w:type="dxa" w:w="16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Native SCV Support</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Deficiency / Gap</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Org Authentication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SSO via SAML 2.0 / OIDC; MFA enforcement policies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MFA enforcement GA since Spring 22</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None if SSO enforced and MFA required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Enforce MFA at org level; verify SSO SAML assertion encryption</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Cloud User Auth</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SSO (SAML/OIDC), native Genesys IDP</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native SAML federation</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Separate identity silo from Salesforce; no shared session context</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Federate Genesys to same IdP (Azure AD / Okta) as Salesforce; enforce MFA parity</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SCV Telephony Connector (M2M)</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OAuth 2.0 Client Credentials for Genesys ↔ Salesforce API calls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 – client secret rotation NOT automated</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Client secret in Genesys Named Credential may be long-lived; no mTLS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Implement secret rotation via Secrets Manager; evaluate mTLS for connector</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Named Credentials</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encrypted storage of external callout credentials</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Native Named Credentials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Legacy Named Credentials lack per-flow granularity</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Use External Credentials + Per-User Principals where applicable</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Connected App (Genesys)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OAuth 2.0 Connected App grant for inbound Genesys API calls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IP restrictions may not cover Genesys Cloud egress IPs fully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Restrict Connected App to Genesys IP ranges; enforce JWT Bearer if possible</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Agent Session (browser)</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session security: token lifetime, IP binding</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configurable Session Settings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Default session timeout 2 hrs; no IP-binding enforced by default</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Set session timeout 30–60 min; enable IP-binding for agent profiles</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Supervisor Privilege Elevation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Permission Sets + Genesys Supervisor role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JIT (Just-in-Time) provisioning for supervisor role elevation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Implement JIT via PAM tooling; log all supervisor role activations</w:t>
            </w:r>
          </w:p>
        </w:tc>
      </w:tr>
    </w:tbl>
    <w:p>
      <w:pPr>
        <w:spacing w:after="0" w:before="120"/>
      </w:pPr>
    </w:p>
    <w:p>
      <w:pPr>
        <w:pStyle w:val="Heading2"/>
      </w:pPr>
      <w:r>
        <w:rPr>
          <w:rFonts w:ascii="Arial" w:cs="Arial" w:eastAsia="Arial" w:hAnsi="Arial"/>
          <w:b/>
          <w:bCs/>
          <w:color w:val="1B3A6B"/>
          <w:sz w:val="24"/>
          <w:szCs w:val="24"/>
        </w:rPr>
        <w:t xml:space="preserve">4.2  Role-Based Access Control (RBAC)</w:t>
      </w:r>
    </w:p>
    <w:p>
      <w:pPr>
        <w:spacing w:after="0" w:before="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800"/>
        <w:gridCol w:w="1800"/>
      </w:tblGrid>
      <w:tr>
        <w:trPr>
          <w:tblHeader/>
        </w:trPr>
        <w:tc>
          <w:tcPr>
            <w:tcW w:type="dxa" w:w="16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Native SCV Support</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Deficiency / Gap</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Permission Sets – SCV</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PS for VoiceCall object access, Einstein Transcription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None if PoLP applied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Audit permission set assignments quarterly; remove Voice Admin from agent PS</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RBAC</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role/permission model for queues, supervisors, API access</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Genesys roles not synced with Salesforce RBAC; siloed access review</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Cross-map Genesys roles to Salesforce profiles; unified access review process</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Object-Level Security (OLS)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VoiceCall, VoiceCallRecording, Transcript objects in Salesforce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VoiceCallRecording object can be accessible to any user with standard Sales Cloud perms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Restrict VoiceCallRecording OLS to Compliance / QA profiles only</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Field-Level Security (FLS)</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PII in Transcript__Body, CallerID on VoiceCall</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 – manual FLS config required</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PII masking at transcript field level by default</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Apply FLS to mask CallerID, transcript body for non-privileged agents</w:t>
            </w:r>
          </w:p>
        </w:tc>
      </w:tr>
    </w:tbl>
    <w:p>
      <w:r>
        <w:br w:type="page"/>
      </w:r>
    </w:p>
    <w:p>
      <w:pPr>
        <w:pStyle w:val="Heading1"/>
      </w:pPr>
      <w:r>
        <w:rPr>
          <w:rFonts w:ascii="Arial" w:cs="Arial" w:eastAsia="Arial" w:hAnsi="Arial"/>
          <w:b/>
          <w:bCs/>
          <w:color w:val="FFFFFF"/>
          <w:sz w:val="28"/>
          <w:szCs w:val="28"/>
        </w:rPr>
        <w:t xml:space="preserve">5.  Data Protection</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800"/>
        <w:gridCol w:w="1800"/>
      </w:tblGrid>
      <w:tr>
        <w:trPr>
          <w:tblHeader/>
        </w:trPr>
        <w:tc>
          <w:tcPr>
            <w:tcW w:type="dxa" w:w="16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Native SCV Support</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Deficiency / Gap</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Data at Rest – Salesforce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org-level AES-256 encryption (Shield optional)</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standard encryption; Shield for field-level</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Platform encryption NOT enabled by default for VoiceCall body/transcript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Enable Salesforce Shield Platform Encryption for VoiceCall, Transcript, Recording objects</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Data at Rest – Genesys</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Cloud encryption at rest (AWS KMS managed)</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AWS KMS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Customer-managed KMS key NOT default; Genesys manages key by default</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Request CMEK (Customer-Managed Encryption Keys) for Genesys data plane</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Data in Transit – Voice Media</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SRTP for media; SIP TLS for signalling</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Genesys enforces SRTP/TLS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TLS version floor not explicitly configurable by tenant; may allow TLS 1.0/1.1</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Verify Genesys tenant TLS profile enforces TLS 1.2+; disable older cipher suites</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Data in Transit – API/Events</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HTTPS TLS for REST API calls between Genesys → Salesforce</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HTTPS enforced</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Certificate pinning not implemented; HSTS not configurable by tenant</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Implement certificate pinning in custom integration layers; validate cert chain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PII / Sensitive Data Handling</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CallerID, name, account data in screen-pop; transcripts with PII</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 – Einstein Redaction (add-on)</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Transcript bodies stored as plain text unless Redaction purchased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License Einstein Redaction; define PII patterns for credit card, SSN, health data</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Call Recording Storage</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manages recordings; can sync to Salesforce Files or S3</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Genesys native recording</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Recording retention policy not enforced at platform level; no legal hold</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Define retention policy in Genesys; integrate with Salesforce Content Governance for legal hold</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Data Residency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multi-region; Salesforce org region selection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region selection at provisioning</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enforcement that Genesys region matches Salesforce org region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Document data flow map; ensure Genesys org and Salesforce org are in same regulatory region</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Data Classification</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No native DLP tagging across the SCV stack</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No</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unified data classification labels across Genesys, AWS, Salesforce</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Implement data classification policy; tag VoiceCall records with sensitivity labels; integrate with CASB</w:t>
            </w:r>
          </w:p>
        </w:tc>
      </w:tr>
    </w:tbl>
    <w:p>
      <w:r>
        <w:br w:type="page"/>
      </w:r>
    </w:p>
    <w:p>
      <w:pPr>
        <w:pStyle w:val="Heading1"/>
      </w:pPr>
      <w:r>
        <w:rPr>
          <w:rFonts w:ascii="Arial" w:cs="Arial" w:eastAsia="Arial" w:hAnsi="Arial"/>
          <w:b/>
          <w:bCs/>
          <w:color w:val="FFFFFF"/>
          <w:sz w:val="28"/>
          <w:szCs w:val="28"/>
        </w:rPr>
        <w:t xml:space="preserve">6.  Integration Security</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800"/>
        <w:gridCol w:w="1800"/>
      </w:tblGrid>
      <w:tr>
        <w:trPr>
          <w:tblHeader/>
        </w:trPr>
        <w:tc>
          <w:tcPr>
            <w:tcW w:type="dxa" w:w="16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Native SCV Support</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Deficiency / Gap</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SCV Telephony Connector API</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partner connector uses SCV Partner Telephony API (REST + Streaming API)</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official connector</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Connector credential scope overly broad if using 'full' OAuth scope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Narrow OAuth scope to minimum required SCV API permissions; review connector release cadence</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Streaming API (CometD)</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Used for real-time agent events pushed to browser</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Streaming API channel access not restricted to SCV channels only by default</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Configure PushTopic and StreamingChannel ACLs; monitor for unauthorized subscriptions</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Webhook / Event-Driven Flows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EventBridge → Salesforce Platform Events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Platform Events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Platform Event consumer errors are silent; no DLQ or replay alerting</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Implement monitoring on Platform Event subscriber lag; configure DLQ and alerts</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API Rate Limiting</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API governor limits; Genesys API throttling</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Salesforce governors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rate-limit alerting; abuse via high-volume CTI events can exhaust API limits</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Set API usage alerts; isolate SCV integration user to dedicated API allocation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Third-Party CTI Integrations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Legacy CTI adapters may remain active post-migration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 – migration planning dependent</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Residual Open CTI configurations increase attack surface post-migration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Decommission all legacy CTI adapters and Call Center configurations post-cutover</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Inbound Webhook Authentication</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 Salesforce webhooks authenticated via OAuth token</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Webhook payload not signed (HMAC); replay attacks possible</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Add HMAC-SHA256 signature to Genesys outbound webhooks; validate in Apex before processing</w:t>
            </w:r>
          </w:p>
        </w:tc>
      </w:tr>
    </w:tbl>
    <w:p>
      <w:pPr>
        <w:spacing w:after="0" w:before="160"/>
      </w:pPr>
    </w:p>
    <w:p>
      <w:pPr>
        <w:pStyle w:val="Heading1"/>
      </w:pPr>
      <w:r>
        <w:rPr>
          <w:rFonts w:ascii="Arial" w:cs="Arial" w:eastAsia="Arial" w:hAnsi="Arial"/>
          <w:b/>
          <w:bCs/>
          <w:color w:val="FFFFFF"/>
          <w:sz w:val="28"/>
          <w:szCs w:val="28"/>
        </w:rPr>
        <w:t xml:space="preserve">7.  Network Security</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800"/>
        <w:gridCol w:w="1800"/>
      </w:tblGrid>
      <w:tr>
        <w:trPr>
          <w:tblHeader/>
        </w:trPr>
        <w:tc>
          <w:tcPr>
            <w:tcW w:type="dxa" w:w="16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Native SCV Support</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Deficiency / Gap</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TLS Enforcement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TLS for all API and media signalling channels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TLS enforced on all Salesforce and Genesys endpoints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Tenant-level TLS minimum version not configurable; platform floor may allow TLS 1.1</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Validate TLS configuration with SSL Labs scans; request Genesys TLS policy documentation</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IP Allowlisting – Salesforce</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Login IP Ranges + Network Access settings</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configurable</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Agent remote/WFH IPs not covered by static allowlist; ZTNA not implemented</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Adopt ZTNA/SDP approach for remote agents rather than IP allowlisting</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IP Allowlisting – Genesys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Cloud IP ranges for media and signalling</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published Genesys IP ranges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Customer-side firewall rules may drift as Genesys expands IP ranges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Subscribe to Genesys IP range change notifications; automate firewall rule sync</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Media Path Security (SRTP)</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Secure RTP for voice media streams between PSTN, Genesys, and AWS Connect</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SRTP enforced by Genesys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SRTP key negotiation via SDES (not DTLS-SRTP) on some Genesys trunks</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Mandate DTLS-SRTP for key exchange on all SIP trunks; verify with carrier</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DDoS Protection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Cloud and Salesforce built-in DDoS mitigation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vendor-managed</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tenant-level rate limiting on inbound call volume spikes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Configure Genesys overflow/throttle policies; implement call surge alerting</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Agent Desktop Network</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Agent browser communicates with Salesforce (HTTPS) and Genesys WebRTC</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HTTPS + WebRTC/DTLS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WebRTC peer connection bypasses corporate proxy; media traffic unmonitored</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Route WebRTC media through TURN server in DMZ; document firewall ports required</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VPC / Private Connectivity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 native private link between Salesforce org and Genesys/AWS by default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 – internet-routed</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All API traffic transits public internet; no Private Link / ExpressRoute option for SCV</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Evaluate Salesforce Private Connect for API traffic; use Private Connect for AWS PrivateLink to Amazon Connect</w:t>
            </w:r>
          </w:p>
        </w:tc>
      </w:tr>
    </w:tbl>
    <w:p>
      <w:r>
        <w:br w:type="page"/>
      </w:r>
    </w:p>
    <w:p>
      <w:pPr>
        <w:pStyle w:val="Heading1"/>
      </w:pPr>
      <w:r>
        <w:rPr>
          <w:rFonts w:ascii="Arial" w:cs="Arial" w:eastAsia="Arial" w:hAnsi="Arial"/>
          <w:b/>
          <w:bCs/>
          <w:color w:val="FFFFFF"/>
          <w:sz w:val="28"/>
          <w:szCs w:val="28"/>
        </w:rPr>
        <w:t xml:space="preserve">8.  Application Security</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800"/>
        <w:gridCol w:w="1800"/>
      </w:tblGrid>
      <w:tr>
        <w:trPr>
          <w:tblHeader/>
        </w:trPr>
        <w:tc>
          <w:tcPr>
            <w:tcW w:type="dxa" w:w="16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Native SCV Support</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Deficiency / Gap</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Apex Code Security (SOQL Injection)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Custom Apex invoked by SCV flows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 – developer responsibility</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SOQL injection risk in custom Apex callouts triggered by screen-pop flows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Run Salesforce Code Analyser (PMD/FindBugs rules) in CI/CD; mandatory security review for all Apex</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Lightning Web Component (LWC) Security</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Custom LWC components in Agent Console</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Salesforce Locker Service / LWS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Third-party LWC packages from AppExchange may bypass LWS policies</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Security review all AppExchange packages; restrict installed packages to approved list</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Flow / Process Builder Security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Flows triggered on VoiceCall events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Flows can invoke External Actions (HTTP callouts) without API gateway intermediary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Require all Flow HTTP callouts to route through API Gateway with WAF; log all Flow invocations</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CSRF / XSS Controls</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Visualforce and LWC built-in CSRF protection</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Salesforce platform</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Custom iframe integrations (e.g., Genesys UI embedded in console) can introduce frame injection</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Enforce Content-Security-Policy headers; remove any X-Frame-Options: ALLOWALL overrides</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Softphone CTI Widget Security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Embedded Desktop (or Cloud Web SDK) rendered in Salesforce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 – depends on integration method</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Genesys Web SDK loaded from CDN; no Subresource Integrity (SRI) check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Pin Genesys SDK version; implement SRI hash validation; review CDN supply chain</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Einstein AI Model Security</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Einstein Voice Intelligence transcription + summarisation</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Salesforce manages model</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Prompt injection via caller-spoken input into Einstein transcription context</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Sanitise transcription outputs before passing to Einstein Copilot or LLM flows; implement output validation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Security Health Check</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org Security Health Check (built-in tool)</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SCV deployment may require permissive settings that degrade Health Check score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Run Health Check post-SCV deployment; document and accept-risk any required deviations with compensating controls</w:t>
            </w:r>
          </w:p>
        </w:tc>
      </w:tr>
    </w:tbl>
    <w:p>
      <w:pPr>
        <w:spacing w:after="0" w:before="160"/>
      </w:pPr>
    </w:p>
    <w:p>
      <w:pPr>
        <w:pStyle w:val="Heading1"/>
      </w:pPr>
      <w:r>
        <w:rPr>
          <w:rFonts w:ascii="Arial" w:cs="Arial" w:eastAsia="Arial" w:hAnsi="Arial"/>
          <w:b/>
          <w:bCs/>
          <w:color w:val="FFFFFF"/>
          <w:sz w:val="28"/>
          <w:szCs w:val="28"/>
        </w:rPr>
        <w:t xml:space="preserve">9.  Logging &amp; Monitoring</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800"/>
        <w:gridCol w:w="1800"/>
      </w:tblGrid>
      <w:tr>
        <w:trPr>
          <w:tblHeader/>
        </w:trPr>
        <w:tc>
          <w:tcPr>
            <w:tcW w:type="dxa" w:w="16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Native SCV Support</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Deficiency / Gap</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Event Monitoring</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Event Log Files (ELF) – LoginEvent, ApiEvent, ReportEvent etc.</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with Event Monitoring add-on</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VoiceCall-specific events not in standard ELF; requires custom Platform Events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License Event Monitoring; publish VoiceCall lifecycle events to SIEM via Streaming API</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Audit Logging</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Cloud Audit Service – user/admin activity logs</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90-day retention</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Genesys audit logs not forwarded to enterprise SIEM; siloed visibility</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Configure Genesys Notifications API to stream audit events to SIEM (Splunk/Sentinel)</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AWS CloudTrail (Amazon Connect)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CloudTrail for Amazon Connect API calls within SCV backbone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enabled by default</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CloudTrail logs stay in AWS; not correlated with Salesforce or Genesys events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Enable CloudTrail → S3 → SIEM ingestion; correlate on session/call ID</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Call Detail Records (CDR)</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conversation CDR: start/end time, DNIS, CLID, disposition</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Genesys native CDR</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CDRs not linked to Salesforce CaseId in standard reports; correlation gap</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Build correlation ID (Genesys ConversationId ↔ Salesforce VoiceCallId) in connector; include in CDR export</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Real-Time Alerting</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Anomaly detection on call volume, auth failures, API abuse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No – not native in SCV</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out-of-box SIEM alerting for SCV-specific threat patterns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Define threat detection rules: after-hours calls, bulk transcript export, privilege escalation, API spike</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Screen Recording / Session Capture</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Agent screen activity during call</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No – not native SCV</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screen capture capability natively; compliance recording gap for regulated industries</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Evaluate third-party WFM/QM solutions (e.g., Verint, NICE) with Genesys integration for screen capture</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Transcript Access Audit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Who accessed VoiceCall transcripts in Salesforce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Partial – Field History Tracking</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Field History Tracking on Transcript object limited to 20 fields and 18-month retention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Use Salesforce Shield Event Monitoring for object-level transcript access audit trail</w:t>
            </w:r>
          </w:p>
        </w:tc>
      </w:tr>
    </w:tbl>
    <w:p>
      <w:r>
        <w:br w:type="page"/>
      </w:r>
    </w:p>
    <w:p>
      <w:pPr>
        <w:pStyle w:val="Heading1"/>
      </w:pPr>
      <w:r>
        <w:rPr>
          <w:rFonts w:ascii="Arial" w:cs="Arial" w:eastAsia="Arial" w:hAnsi="Arial"/>
          <w:b/>
          <w:bCs/>
          <w:color w:val="FFFFFF"/>
          <w:sz w:val="28"/>
          <w:szCs w:val="28"/>
        </w:rPr>
        <w:t xml:space="preserve">10.  Infrastructure Security</w:t>
      </w:r>
    </w:p>
    <w:p>
      <w:pPr>
        <w:spacing w:after="0" w:before="80"/>
      </w:pPr>
    </w:p>
    <w:p>
      <w:pPr>
        <w:pStyle w:val="Heading2"/>
      </w:pPr>
      <w:r>
        <w:rPr>
          <w:rFonts w:ascii="Arial" w:cs="Arial" w:eastAsia="Arial" w:hAnsi="Arial"/>
          <w:b/>
          <w:bCs/>
          <w:color w:val="1B3A6B"/>
          <w:sz w:val="24"/>
          <w:szCs w:val="24"/>
        </w:rPr>
        <w:t xml:space="preserve">10.1  Cloud Infrastructure</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800"/>
        <w:gridCol w:w="1800"/>
      </w:tblGrid>
      <w:tr>
        <w:trPr>
          <w:tblHeader/>
        </w:trPr>
        <w:tc>
          <w:tcPr>
            <w:tcW w:type="dxa" w:w="16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Native SCV Support</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Deficiency / Gap</w:t>
            </w:r>
          </w:p>
        </w:tc>
        <w:tc>
          <w:tcPr>
            <w:tcW w:type="dxa" w:w="1800"/>
            <w:tcBorders>
              <w:top w:val="single" w:color="BFBFBF" w:sz="1"/>
              <w:left w:val="single" w:color="BFBFBF" w:sz="1"/>
              <w:bottom w:val="single" w:color="BFBFBF" w:sz="1"/>
              <w:right w:val="single" w:color="BFBFBF"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Multi-Tenant Isolation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Hyperforce infrastructure; tenant isolation at DB and compute layer</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Salesforce Hyperforce</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Tenant isolation is Salesforce-managed; customer cannot verify controls independently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Obtain Salesforce SOC 2 Type II / ISO 27001 for Hyperforce; include in vendor risk assessment</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Genesys Cloud Infrastructure</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AWS-hosted; ISO 27001, SOC 2, PCI-DSS certified</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Genesys manages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Customer has no access to underlying Genesys infra controls</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Review Genesys annual compliance reports; ensure PCI scope is defined if handling card data in calls</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Amazon Connect (AWS)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AWS-managed; VPC, KMS, IAM, GuardDuty available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SCV uses Amazon Connect as backbone; tenant cannot configure AWS controls directly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Engage Salesforce for Hyperforce region-specific Amazon Connect config; request AWS config documentation</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Patch Management</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3x/year release cycle; Genesys continuous delivery</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vendor-managed</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tenant control over patch timing; cannot delay security patches</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Subscribe to Salesforce Trust notifications; test Genesys updates in sandbox before auto-promotion</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Vulnerability Management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Bug Bounty; Genesys VDP</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vendor programmes</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Tenant-developed Apex/LWC code not covered by vendor VDP</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595959"/>
                <w:sz w:val="18"/>
                <w:szCs w:val="18"/>
              </w:rPr>
              <w:t xml:space="preserve">Run SAST/DAST on all custom code; include SCV components in quarterly penetration test scope</w:t>
            </w:r>
          </w:p>
        </w:tc>
      </w:tr>
      <w:tr>
        <w:tc>
          <w:tcPr>
            <w:tcW w:type="dxa" w:w="16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Business Continuity / DR</w:t>
            </w:r>
          </w:p>
        </w:tc>
        <w:tc>
          <w:tcPr>
            <w:tcW w:type="dxa" w:w="24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Salesforce: 99.9% SLA, automated failover; Genesys: multi-region active-active</w:t>
            </w:r>
          </w:p>
        </w:tc>
        <w:tc>
          <w:tcPr>
            <w:tcW w:type="dxa" w:w="15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Yes – vendor-managed</w:t>
            </w:r>
          </w:p>
        </w:tc>
        <w:tc>
          <w:tcPr>
            <w:tcW w:type="dxa" w:w="1800"/>
            <w:tcBorders>
              <w:top w:val="single" w:color="BFBFBF" w:sz="1"/>
              <w:left w:val="single" w:color="BFBFBF" w:sz="1"/>
              <w:bottom w:val="single" w:color="BFBFBF" w:sz="1"/>
              <w:right w:val="single" w:color="BFBFBF" w:sz="1"/>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No documented joint DR plan for SCV + Genesys failure scenario</w:t>
            </w:r>
          </w:p>
        </w:tc>
        <w:tc>
          <w:tcPr>
            <w:tcW w:type="dxa" w:w="1800"/>
            <w:tcBorders>
              <w:top w:val="single" w:color="BFBFBF" w:sz="1"/>
              <w:left w:val="single" w:color="BFBFBF" w:sz="1"/>
              <w:bottom w:val="single" w:color="BFBFBF" w:sz="1"/>
              <w:right w:val="single" w:color="BFBFBF" w:sz="1"/>
            </w:tcBorders>
            <w:shd w:fill="EBF3FA" w:val="clear"/>
            <w:tcMar>
              <w:top w:type="dxa" w:w="60"/>
              <w:left w:type="dxa" w:w="120"/>
              <w:bottom w:type="dxa" w:w="60"/>
              <w:right w:type="dxa" w:w="120"/>
            </w:tcMar>
          </w:tcPr>
          <w:p>
            <w:r>
              <w:rPr>
                <w:rFonts w:ascii="Arial" w:cs="Arial" w:eastAsia="Arial" w:hAnsi="Arial"/>
                <w:b w:val="false"/>
                <w:bCs w:val="false"/>
                <w:color w:val="595959"/>
                <w:sz w:val="18"/>
                <w:szCs w:val="18"/>
              </w:rPr>
              <w:t xml:space="preserve">Develop joint DR runbook; test failover from Genesys to backup telephony provider quarterly</w:t>
            </w:r>
          </w:p>
        </w:tc>
      </w:tr>
    </w:tbl>
    <w:p>
      <w:pPr>
        <w:spacing w:after="0" w:before="160"/>
      </w:pPr>
    </w:p>
    <w:p>
      <w:pPr>
        <w:pStyle w:val="Heading1"/>
      </w:pPr>
      <w:r>
        <w:rPr>
          <w:rFonts w:ascii="Arial" w:cs="Arial" w:eastAsia="Arial" w:hAnsi="Arial"/>
          <w:b/>
          <w:bCs/>
          <w:color w:val="FFFFFF"/>
          <w:sz w:val="28"/>
          <w:szCs w:val="28"/>
        </w:rPr>
        <w:t xml:space="preserve">11.  Consolidated Security Requirements &amp; Remediation Plan</w:t>
      </w:r>
    </w:p>
    <w:p>
      <w:pPr>
        <w:spacing w:after="0" w:before="80"/>
      </w:pPr>
    </w:p>
    <w:p>
      <w:pPr>
        <w:spacing w:after="80" w:before="80"/>
      </w:pPr>
      <w:r>
        <w:rPr>
          <w:rFonts w:ascii="Arial" w:cs="Arial" w:eastAsia="Arial" w:hAnsi="Arial"/>
          <w:color w:val="595959"/>
          <w:sz w:val="20"/>
          <w:szCs w:val="20"/>
        </w:rPr>
        <w:t xml:space="preserve">The table below consolidates all identified deficiencies into a prioritised remediation backlog. Items marked CRITICAL must be resolved before production go-live.</w:t>
      </w:r>
    </w:p>
    <w:p>
      <w:pPr>
        <w:spacing w:after="0" w:before="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600"/>
        <w:gridCol w:w="1400"/>
        <w:gridCol w:w="1200"/>
        <w:gridCol w:w="2700"/>
      </w:tblGrid>
      <w:tr>
        <w:trPr>
          <w:tblHeader/>
        </w:trPr>
        <w:tc>
          <w:tcPr>
            <w:tcW w:type="dxa" w:w="400"/>
            <w:tcBorders>
              <w:top w:val="single" w:color="BFBFBF" w:sz="1"/>
              <w:left w:val="single" w:color="BFBFBF" w:sz="1"/>
              <w:bottom w:val="single" w:color="BFBFBF" w:sz="1"/>
              <w:right w:val="single" w:color="BFBFB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w:t>
            </w:r>
          </w:p>
        </w:tc>
        <w:tc>
          <w:tcPr>
            <w:tcW w:type="dxa" w:w="1800"/>
            <w:tcBorders>
              <w:top w:val="single" w:color="BFBFBF" w:sz="1"/>
              <w:left w:val="single" w:color="BFBFBF" w:sz="1"/>
              <w:bottom w:val="single" w:color="BFBFBF" w:sz="1"/>
              <w:right w:val="single" w:color="BFBFB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Domain</w:t>
            </w:r>
          </w:p>
        </w:tc>
        <w:tc>
          <w:tcPr>
            <w:tcW w:type="dxa" w:w="1600"/>
            <w:tcBorders>
              <w:top w:val="single" w:color="BFBFBF" w:sz="1"/>
              <w:left w:val="single" w:color="BFBFBF" w:sz="1"/>
              <w:bottom w:val="single" w:color="BFBFBF" w:sz="1"/>
              <w:right w:val="single" w:color="BFBFB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Deficiency</w:t>
            </w:r>
          </w:p>
        </w:tc>
        <w:tc>
          <w:tcPr>
            <w:tcW w:type="dxa" w:w="1400"/>
            <w:tcBorders>
              <w:top w:val="single" w:color="BFBFBF" w:sz="1"/>
              <w:left w:val="single" w:color="BFBFBF" w:sz="1"/>
              <w:bottom w:val="single" w:color="BFBFBF" w:sz="1"/>
              <w:right w:val="single" w:color="BFBFB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Risk</w:t>
            </w:r>
          </w:p>
        </w:tc>
        <w:tc>
          <w:tcPr>
            <w:tcW w:type="dxa" w:w="1200"/>
            <w:tcBorders>
              <w:top w:val="single" w:color="BFBFBF" w:sz="1"/>
              <w:left w:val="single" w:color="BFBFBF" w:sz="1"/>
              <w:bottom w:val="single" w:color="BFBFBF" w:sz="1"/>
              <w:right w:val="single" w:color="BFBFB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Priority</w:t>
            </w:r>
          </w:p>
        </w:tc>
        <w:tc>
          <w:tcPr>
            <w:tcW w:type="dxa" w:w="2700"/>
            <w:tcBorders>
              <w:top w:val="single" w:color="BFBFBF" w:sz="1"/>
              <w:left w:val="single" w:color="BFBFBF" w:sz="1"/>
              <w:bottom w:val="single" w:color="BFBFBF" w:sz="1"/>
              <w:right w:val="single" w:color="BFBFB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Remediation Action</w:t>
            </w:r>
          </w:p>
        </w:tc>
      </w:tr>
      <w:tr>
        <w:tc>
          <w:tcPr>
            <w:tcW w:type="dxa" w:w="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1</w:t>
            </w:r>
          </w:p>
        </w:tc>
        <w:tc>
          <w:tcPr>
            <w:tcW w:type="dxa" w:w="18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IAM</w:t>
            </w:r>
          </w:p>
        </w:tc>
        <w:tc>
          <w:tcPr>
            <w:tcW w:type="dxa" w:w="16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No secret rotation for SCV connector OAuth client credentials</w:t>
            </w:r>
          </w:p>
        </w:tc>
        <w:tc>
          <w:tcPr>
            <w:tcW w:type="dxa" w:w="1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High</w:t>
            </w:r>
          </w:p>
        </w:tc>
        <w:tc>
          <w:tcPr>
            <w:tcW w:type="dxa" w:w="1200"/>
            <w:tcBorders>
              <w:top w:val="single" w:color="BFBFBF" w:sz="1"/>
              <w:left w:val="single" w:color="BFBFBF" w:sz="1"/>
              <w:bottom w:val="single" w:color="BFBFBF" w:sz="1"/>
              <w:right w:val="single" w:color="BFBFBF" w:sz="1"/>
            </w:tcBorders>
            <w:shd w:fill="FCE4D6" w:val="clear"/>
            <w:tcMar>
              <w:top w:type="dxa" w:w="60"/>
              <w:left w:type="dxa" w:w="80"/>
              <w:bottom w:type="dxa" w:w="60"/>
              <w:right w:type="dxa" w:w="80"/>
            </w:tcMar>
          </w:tcPr>
          <w:p>
            <w:r>
              <w:rPr>
                <w:rFonts w:ascii="Arial" w:cs="Arial" w:eastAsia="Arial" w:hAnsi="Arial"/>
                <w:b/>
                <w:bCs/>
                <w:color w:val="C55A11"/>
                <w:sz w:val="17"/>
                <w:szCs w:val="17"/>
              </w:rPr>
              <w:t xml:space="preserve">CRITICAL</w:t>
            </w:r>
          </w:p>
        </w:tc>
        <w:tc>
          <w:tcPr>
            <w:tcW w:type="dxa" w:w="27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Implement automated rotation via Secrets Manager; target: 90-day max lifetime</w:t>
            </w:r>
          </w:p>
        </w:tc>
      </w:tr>
      <w:tr>
        <w:tc>
          <w:tcPr>
            <w:tcW w:type="dxa" w:w="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2</w:t>
            </w:r>
          </w:p>
        </w:tc>
        <w:tc>
          <w:tcPr>
            <w:tcW w:type="dxa" w:w="18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Data Protection</w:t>
            </w:r>
          </w:p>
        </w:tc>
        <w:tc>
          <w:tcPr>
            <w:tcW w:type="dxa" w:w="16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Salesforce Shield Platform Encryption not enabled for VoiceCall / Transcript objects</w:t>
            </w:r>
          </w:p>
        </w:tc>
        <w:tc>
          <w:tcPr>
            <w:tcW w:type="dxa" w:w="1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Critical</w:t>
            </w:r>
          </w:p>
        </w:tc>
        <w:tc>
          <w:tcPr>
            <w:tcW w:type="dxa" w:w="1200"/>
            <w:tcBorders>
              <w:top w:val="single" w:color="BFBFBF" w:sz="1"/>
              <w:left w:val="single" w:color="BFBFBF" w:sz="1"/>
              <w:bottom w:val="single" w:color="BFBFBF" w:sz="1"/>
              <w:right w:val="single" w:color="BFBFBF" w:sz="1"/>
            </w:tcBorders>
            <w:shd w:fill="FCE4D6" w:val="clear"/>
            <w:tcMar>
              <w:top w:type="dxa" w:w="60"/>
              <w:left w:type="dxa" w:w="80"/>
              <w:bottom w:type="dxa" w:w="60"/>
              <w:right w:type="dxa" w:w="80"/>
            </w:tcMar>
          </w:tcPr>
          <w:p>
            <w:r>
              <w:rPr>
                <w:rFonts w:ascii="Arial" w:cs="Arial" w:eastAsia="Arial" w:hAnsi="Arial"/>
                <w:b/>
                <w:bCs/>
                <w:color w:val="C55A11"/>
                <w:sz w:val="17"/>
                <w:szCs w:val="17"/>
              </w:rPr>
              <w:t xml:space="preserve">CRITICAL</w:t>
            </w:r>
          </w:p>
        </w:tc>
        <w:tc>
          <w:tcPr>
            <w:tcW w:type="dxa" w:w="27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Enable Shield PE for VoiceCall, VoiceCallRecording, Transcript; test with sandbox before prod</w:t>
            </w:r>
          </w:p>
        </w:tc>
      </w:tr>
      <w:tr>
        <w:tc>
          <w:tcPr>
            <w:tcW w:type="dxa" w:w="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3</w:t>
            </w:r>
          </w:p>
        </w:tc>
        <w:tc>
          <w:tcPr>
            <w:tcW w:type="dxa" w:w="18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Data Protection</w:t>
            </w:r>
          </w:p>
        </w:tc>
        <w:tc>
          <w:tcPr>
            <w:tcW w:type="dxa" w:w="16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No PII redaction in Einstein transcripts</w:t>
            </w:r>
          </w:p>
        </w:tc>
        <w:tc>
          <w:tcPr>
            <w:tcW w:type="dxa" w:w="1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High</w:t>
            </w:r>
          </w:p>
        </w:tc>
        <w:tc>
          <w:tcPr>
            <w:tcW w:type="dxa" w:w="1200"/>
            <w:tcBorders>
              <w:top w:val="single" w:color="BFBFBF" w:sz="1"/>
              <w:left w:val="single" w:color="BFBFBF" w:sz="1"/>
              <w:bottom w:val="single" w:color="BFBFBF" w:sz="1"/>
              <w:right w:val="single" w:color="BFBFBF" w:sz="1"/>
            </w:tcBorders>
            <w:shd w:fill="FCE4D6" w:val="clear"/>
            <w:tcMar>
              <w:top w:type="dxa" w:w="60"/>
              <w:left w:type="dxa" w:w="80"/>
              <w:bottom w:type="dxa" w:w="60"/>
              <w:right w:type="dxa" w:w="80"/>
            </w:tcMar>
          </w:tcPr>
          <w:p>
            <w:r>
              <w:rPr>
                <w:rFonts w:ascii="Arial" w:cs="Arial" w:eastAsia="Arial" w:hAnsi="Arial"/>
                <w:b/>
                <w:bCs/>
                <w:color w:val="C55A11"/>
                <w:sz w:val="17"/>
                <w:szCs w:val="17"/>
              </w:rPr>
              <w:t xml:space="preserve">CRITICAL</w:t>
            </w:r>
          </w:p>
        </w:tc>
        <w:tc>
          <w:tcPr>
            <w:tcW w:type="dxa" w:w="27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License Einstein Redaction; configure PII patterns for GDPR/PCI scope data</w:t>
            </w:r>
          </w:p>
        </w:tc>
      </w:tr>
      <w:tr>
        <w:tc>
          <w:tcPr>
            <w:tcW w:type="dxa" w:w="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4</w:t>
            </w:r>
          </w:p>
        </w:tc>
        <w:tc>
          <w:tcPr>
            <w:tcW w:type="dxa" w:w="18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Integration</w:t>
            </w:r>
          </w:p>
        </w:tc>
        <w:tc>
          <w:tcPr>
            <w:tcW w:type="dxa" w:w="16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Genesys webhooks lack HMAC payload signing</w:t>
            </w:r>
          </w:p>
        </w:tc>
        <w:tc>
          <w:tcPr>
            <w:tcW w:type="dxa" w:w="1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High</w:t>
            </w:r>
          </w:p>
        </w:tc>
        <w:tc>
          <w:tcPr>
            <w:tcW w:type="dxa" w:w="1200"/>
            <w:tcBorders>
              <w:top w:val="single" w:color="BFBFBF" w:sz="1"/>
              <w:left w:val="single" w:color="BFBFBF" w:sz="1"/>
              <w:bottom w:val="single" w:color="BFBFBF" w:sz="1"/>
              <w:right w:val="single" w:color="BFBFBF" w:sz="1"/>
            </w:tcBorders>
            <w:shd w:fill="FCE4D6" w:val="clear"/>
            <w:tcMar>
              <w:top w:type="dxa" w:w="60"/>
              <w:left w:type="dxa" w:w="80"/>
              <w:bottom w:type="dxa" w:w="60"/>
              <w:right w:type="dxa" w:w="80"/>
            </w:tcMar>
          </w:tcPr>
          <w:p>
            <w:r>
              <w:rPr>
                <w:rFonts w:ascii="Arial" w:cs="Arial" w:eastAsia="Arial" w:hAnsi="Arial"/>
                <w:b/>
                <w:bCs/>
                <w:color w:val="C55A11"/>
                <w:sz w:val="17"/>
                <w:szCs w:val="17"/>
              </w:rPr>
              <w:t xml:space="preserve">CRITICAL</w:t>
            </w:r>
          </w:p>
        </w:tc>
        <w:tc>
          <w:tcPr>
            <w:tcW w:type="dxa" w:w="27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Implement HMAC-SHA256 signing in Genesys outbound notifications; validate in Apex</w:t>
            </w:r>
          </w:p>
        </w:tc>
      </w:tr>
      <w:tr>
        <w:tc>
          <w:tcPr>
            <w:tcW w:type="dxa" w:w="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5</w:t>
            </w:r>
          </w:p>
        </w:tc>
        <w:tc>
          <w:tcPr>
            <w:tcW w:type="dxa" w:w="18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Network</w:t>
            </w:r>
          </w:p>
        </w:tc>
        <w:tc>
          <w:tcPr>
            <w:tcW w:type="dxa" w:w="16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No Private Connect / PrivateLink for API traffic</w:t>
            </w:r>
          </w:p>
        </w:tc>
        <w:tc>
          <w:tcPr>
            <w:tcW w:type="dxa" w:w="1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1200"/>
            <w:tcBorders>
              <w:top w:val="single" w:color="BFBFBF" w:sz="1"/>
              <w:left w:val="single" w:color="BFBFBF" w:sz="1"/>
              <w:bottom w:val="single" w:color="BFBFBF" w:sz="1"/>
              <w:right w:val="single" w:color="BFBFBF" w:sz="1"/>
            </w:tcBorders>
            <w:shd w:fill="FFF2CC" w:val="clear"/>
            <w:tcMar>
              <w:top w:type="dxa" w:w="60"/>
              <w:left w:type="dxa" w:w="80"/>
              <w:bottom w:type="dxa" w:w="60"/>
              <w:right w:type="dxa" w:w="80"/>
            </w:tcMar>
          </w:tcPr>
          <w:p>
            <w:r>
              <w:rPr>
                <w:rFonts w:ascii="Arial" w:cs="Arial" w:eastAsia="Arial" w:hAnsi="Arial"/>
                <w:b/>
                <w:bCs/>
                <w:color w:val="7F4F00"/>
                <w:sz w:val="17"/>
                <w:szCs w:val="17"/>
              </w:rPr>
              <w:t xml:space="preserve">HIGH</w:t>
            </w:r>
          </w:p>
        </w:tc>
        <w:tc>
          <w:tcPr>
            <w:tcW w:type="dxa" w:w="27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Evaluate Salesforce Private Connect; deploy if compliance requires no public-internet API transit</w:t>
            </w:r>
          </w:p>
        </w:tc>
      </w:tr>
      <w:tr>
        <w:tc>
          <w:tcPr>
            <w:tcW w:type="dxa" w:w="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6</w:t>
            </w:r>
          </w:p>
        </w:tc>
        <w:tc>
          <w:tcPr>
            <w:tcW w:type="dxa" w:w="18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Network</w:t>
            </w:r>
          </w:p>
        </w:tc>
        <w:tc>
          <w:tcPr>
            <w:tcW w:type="dxa" w:w="16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WebRTC media path bypasses corporate proxy</w:t>
            </w:r>
          </w:p>
        </w:tc>
        <w:tc>
          <w:tcPr>
            <w:tcW w:type="dxa" w:w="1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1200"/>
            <w:tcBorders>
              <w:top w:val="single" w:color="BFBFBF" w:sz="1"/>
              <w:left w:val="single" w:color="BFBFBF" w:sz="1"/>
              <w:bottom w:val="single" w:color="BFBFBF" w:sz="1"/>
              <w:right w:val="single" w:color="BFBFBF" w:sz="1"/>
            </w:tcBorders>
            <w:shd w:fill="FFF2CC" w:val="clear"/>
            <w:tcMar>
              <w:top w:type="dxa" w:w="60"/>
              <w:left w:type="dxa" w:w="80"/>
              <w:bottom w:type="dxa" w:w="60"/>
              <w:right w:type="dxa" w:w="80"/>
            </w:tcMar>
          </w:tcPr>
          <w:p>
            <w:r>
              <w:rPr>
                <w:rFonts w:ascii="Arial" w:cs="Arial" w:eastAsia="Arial" w:hAnsi="Arial"/>
                <w:b/>
                <w:bCs/>
                <w:color w:val="7F4F00"/>
                <w:sz w:val="17"/>
                <w:szCs w:val="17"/>
              </w:rPr>
              <w:t xml:space="preserve">HIGH</w:t>
            </w:r>
          </w:p>
        </w:tc>
        <w:tc>
          <w:tcPr>
            <w:tcW w:type="dxa" w:w="27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Deploy TURN server in DMZ; update agent firewall docs; implement media traffic visibility</w:t>
            </w:r>
          </w:p>
        </w:tc>
      </w:tr>
      <w:tr>
        <w:tc>
          <w:tcPr>
            <w:tcW w:type="dxa" w:w="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7</w:t>
            </w:r>
          </w:p>
        </w:tc>
        <w:tc>
          <w:tcPr>
            <w:tcW w:type="dxa" w:w="18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Logging</w:t>
            </w:r>
          </w:p>
        </w:tc>
        <w:tc>
          <w:tcPr>
            <w:tcW w:type="dxa" w:w="16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Genesys audit logs not forwarded to SIEM</w:t>
            </w:r>
          </w:p>
        </w:tc>
        <w:tc>
          <w:tcPr>
            <w:tcW w:type="dxa" w:w="1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High</w:t>
            </w:r>
          </w:p>
        </w:tc>
        <w:tc>
          <w:tcPr>
            <w:tcW w:type="dxa" w:w="1200"/>
            <w:tcBorders>
              <w:top w:val="single" w:color="BFBFBF" w:sz="1"/>
              <w:left w:val="single" w:color="BFBFBF" w:sz="1"/>
              <w:bottom w:val="single" w:color="BFBFBF" w:sz="1"/>
              <w:right w:val="single" w:color="BFBFBF" w:sz="1"/>
            </w:tcBorders>
            <w:shd w:fill="FFF2CC" w:val="clear"/>
            <w:tcMar>
              <w:top w:type="dxa" w:w="60"/>
              <w:left w:type="dxa" w:w="80"/>
              <w:bottom w:type="dxa" w:w="60"/>
              <w:right w:type="dxa" w:w="80"/>
            </w:tcMar>
          </w:tcPr>
          <w:p>
            <w:r>
              <w:rPr>
                <w:rFonts w:ascii="Arial" w:cs="Arial" w:eastAsia="Arial" w:hAnsi="Arial"/>
                <w:b/>
                <w:bCs/>
                <w:color w:val="7F4F00"/>
                <w:sz w:val="17"/>
                <w:szCs w:val="17"/>
              </w:rPr>
              <w:t xml:space="preserve">HIGH</w:t>
            </w:r>
          </w:p>
        </w:tc>
        <w:tc>
          <w:tcPr>
            <w:tcW w:type="dxa" w:w="27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Configure Genesys Notifications API → SIEM pipeline; define retention = 12 months minimum</w:t>
            </w:r>
          </w:p>
        </w:tc>
      </w:tr>
      <w:tr>
        <w:tc>
          <w:tcPr>
            <w:tcW w:type="dxa" w:w="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8</w:t>
            </w:r>
          </w:p>
        </w:tc>
        <w:tc>
          <w:tcPr>
            <w:tcW w:type="dxa" w:w="18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Logging</w:t>
            </w:r>
          </w:p>
        </w:tc>
        <w:tc>
          <w:tcPr>
            <w:tcW w:type="dxa" w:w="16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No SCV-specific threat detection rules in SIEM</w:t>
            </w:r>
          </w:p>
        </w:tc>
        <w:tc>
          <w:tcPr>
            <w:tcW w:type="dxa" w:w="1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High</w:t>
            </w:r>
          </w:p>
        </w:tc>
        <w:tc>
          <w:tcPr>
            <w:tcW w:type="dxa" w:w="1200"/>
            <w:tcBorders>
              <w:top w:val="single" w:color="BFBFBF" w:sz="1"/>
              <w:left w:val="single" w:color="BFBFBF" w:sz="1"/>
              <w:bottom w:val="single" w:color="BFBFBF" w:sz="1"/>
              <w:right w:val="single" w:color="BFBFBF" w:sz="1"/>
            </w:tcBorders>
            <w:shd w:fill="FFF2CC" w:val="clear"/>
            <w:tcMar>
              <w:top w:type="dxa" w:w="60"/>
              <w:left w:type="dxa" w:w="80"/>
              <w:bottom w:type="dxa" w:w="60"/>
              <w:right w:type="dxa" w:w="80"/>
            </w:tcMar>
          </w:tcPr>
          <w:p>
            <w:r>
              <w:rPr>
                <w:rFonts w:ascii="Arial" w:cs="Arial" w:eastAsia="Arial" w:hAnsi="Arial"/>
                <w:b/>
                <w:bCs/>
                <w:color w:val="7F4F00"/>
                <w:sz w:val="17"/>
                <w:szCs w:val="17"/>
              </w:rPr>
              <w:t xml:space="preserve">HIGH</w:t>
            </w:r>
          </w:p>
        </w:tc>
        <w:tc>
          <w:tcPr>
            <w:tcW w:type="dxa" w:w="27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Define and deploy detection rules for SCV threat patterns (see Section 9)</w:t>
            </w:r>
          </w:p>
        </w:tc>
      </w:tr>
      <w:tr>
        <w:tc>
          <w:tcPr>
            <w:tcW w:type="dxa" w:w="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9</w:t>
            </w:r>
          </w:p>
        </w:tc>
        <w:tc>
          <w:tcPr>
            <w:tcW w:type="dxa" w:w="18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App Security</w:t>
            </w:r>
          </w:p>
        </w:tc>
        <w:tc>
          <w:tcPr>
            <w:tcW w:type="dxa" w:w="16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No SRI on Genesys Web SDK CDN load</w:t>
            </w:r>
          </w:p>
        </w:tc>
        <w:tc>
          <w:tcPr>
            <w:tcW w:type="dxa" w:w="1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12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27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Pin SDK version; add integrity= attribute; review CDN security posture</w:t>
            </w:r>
          </w:p>
        </w:tc>
      </w:tr>
      <w:tr>
        <w:tc>
          <w:tcPr>
            <w:tcW w:type="dxa" w:w="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10</w:t>
            </w:r>
          </w:p>
        </w:tc>
        <w:tc>
          <w:tcPr>
            <w:tcW w:type="dxa" w:w="18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App Security</w:t>
            </w:r>
          </w:p>
        </w:tc>
        <w:tc>
          <w:tcPr>
            <w:tcW w:type="dxa" w:w="16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Einstein transcription prompt injection risk</w:t>
            </w:r>
          </w:p>
        </w:tc>
        <w:tc>
          <w:tcPr>
            <w:tcW w:type="dxa" w:w="1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12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27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Sanitise transcription output before passing to LLM/Copilot; output validation layer</w:t>
            </w:r>
          </w:p>
        </w:tc>
      </w:tr>
      <w:tr>
        <w:tc>
          <w:tcPr>
            <w:tcW w:type="dxa" w:w="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11</w:t>
            </w:r>
          </w:p>
        </w:tc>
        <w:tc>
          <w:tcPr>
            <w:tcW w:type="dxa" w:w="18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IAM</w:t>
            </w:r>
          </w:p>
        </w:tc>
        <w:tc>
          <w:tcPr>
            <w:tcW w:type="dxa" w:w="16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Genesys IdP not federated to enterprise IdP</w:t>
            </w:r>
          </w:p>
        </w:tc>
        <w:tc>
          <w:tcPr>
            <w:tcW w:type="dxa" w:w="1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High</w:t>
            </w:r>
          </w:p>
        </w:tc>
        <w:tc>
          <w:tcPr>
            <w:tcW w:type="dxa" w:w="1200"/>
            <w:tcBorders>
              <w:top w:val="single" w:color="BFBFBF" w:sz="1"/>
              <w:left w:val="single" w:color="BFBFBF" w:sz="1"/>
              <w:bottom w:val="single" w:color="BFBFBF" w:sz="1"/>
              <w:right w:val="single" w:color="BFBFBF" w:sz="1"/>
            </w:tcBorders>
            <w:shd w:fill="FFF2CC" w:val="clear"/>
            <w:tcMar>
              <w:top w:type="dxa" w:w="60"/>
              <w:left w:type="dxa" w:w="80"/>
              <w:bottom w:type="dxa" w:w="60"/>
              <w:right w:type="dxa" w:w="80"/>
            </w:tcMar>
          </w:tcPr>
          <w:p>
            <w:r>
              <w:rPr>
                <w:rFonts w:ascii="Arial" w:cs="Arial" w:eastAsia="Arial" w:hAnsi="Arial"/>
                <w:b/>
                <w:bCs/>
                <w:color w:val="7F4F00"/>
                <w:sz w:val="17"/>
                <w:szCs w:val="17"/>
              </w:rPr>
              <w:t xml:space="preserve">HIGH</w:t>
            </w:r>
          </w:p>
        </w:tc>
        <w:tc>
          <w:tcPr>
            <w:tcW w:type="dxa" w:w="27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Federate Genesys Cloud SAML to Azure AD / Okta; enforce MFA parity</w:t>
            </w:r>
          </w:p>
        </w:tc>
      </w:tr>
      <w:tr>
        <w:tc>
          <w:tcPr>
            <w:tcW w:type="dxa" w:w="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12</w:t>
            </w:r>
          </w:p>
        </w:tc>
        <w:tc>
          <w:tcPr>
            <w:tcW w:type="dxa" w:w="18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Data Protection</w:t>
            </w:r>
          </w:p>
        </w:tc>
        <w:tc>
          <w:tcPr>
            <w:tcW w:type="dxa" w:w="16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No unified data classification across SCV stack</w:t>
            </w:r>
          </w:p>
        </w:tc>
        <w:tc>
          <w:tcPr>
            <w:tcW w:type="dxa" w:w="1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12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27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Define and implement data classification policy; integrate CASB for cross-platform enforcement</w:t>
            </w:r>
          </w:p>
        </w:tc>
      </w:tr>
      <w:tr>
        <w:tc>
          <w:tcPr>
            <w:tcW w:type="dxa" w:w="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13</w:t>
            </w:r>
          </w:p>
        </w:tc>
        <w:tc>
          <w:tcPr>
            <w:tcW w:type="dxa" w:w="18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Infrastructure</w:t>
            </w:r>
          </w:p>
        </w:tc>
        <w:tc>
          <w:tcPr>
            <w:tcW w:type="dxa" w:w="16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No joint DR runbook for SCV + Genesys failure</w:t>
            </w:r>
          </w:p>
        </w:tc>
        <w:tc>
          <w:tcPr>
            <w:tcW w:type="dxa" w:w="1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12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27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Draft joint DR plan; perform tabletop exercise within 60 days of go-live</w:t>
            </w:r>
          </w:p>
        </w:tc>
      </w:tr>
      <w:tr>
        <w:tc>
          <w:tcPr>
            <w:tcW w:type="dxa" w:w="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14</w:t>
            </w:r>
          </w:p>
        </w:tc>
        <w:tc>
          <w:tcPr>
            <w:tcW w:type="dxa" w:w="18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IAM</w:t>
            </w:r>
          </w:p>
        </w:tc>
        <w:tc>
          <w:tcPr>
            <w:tcW w:type="dxa" w:w="16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VoiceCallRecording object accessible to standard agent profiles</w:t>
            </w:r>
          </w:p>
        </w:tc>
        <w:tc>
          <w:tcPr>
            <w:tcW w:type="dxa" w:w="14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High</w:t>
            </w:r>
          </w:p>
        </w:tc>
        <w:tc>
          <w:tcPr>
            <w:tcW w:type="dxa" w:w="1200"/>
            <w:tcBorders>
              <w:top w:val="single" w:color="BFBFBF" w:sz="1"/>
              <w:left w:val="single" w:color="BFBFBF" w:sz="1"/>
              <w:bottom w:val="single" w:color="BFBFBF" w:sz="1"/>
              <w:right w:val="single" w:color="BFBFBF" w:sz="1"/>
            </w:tcBorders>
            <w:shd w:fill="FFF2CC" w:val="clear"/>
            <w:tcMar>
              <w:top w:type="dxa" w:w="60"/>
              <w:left w:type="dxa" w:w="80"/>
              <w:bottom w:type="dxa" w:w="60"/>
              <w:right w:type="dxa" w:w="80"/>
            </w:tcMar>
          </w:tcPr>
          <w:p>
            <w:r>
              <w:rPr>
                <w:rFonts w:ascii="Arial" w:cs="Arial" w:eastAsia="Arial" w:hAnsi="Arial"/>
                <w:b/>
                <w:bCs/>
                <w:color w:val="7F4F00"/>
                <w:sz w:val="17"/>
                <w:szCs w:val="17"/>
              </w:rPr>
              <w:t xml:space="preserve">HIGH</w:t>
            </w:r>
          </w:p>
        </w:tc>
        <w:tc>
          <w:tcPr>
            <w:tcW w:type="dxa" w:w="2700"/>
            <w:tcBorders>
              <w:top w:val="single" w:color="BFBFBF" w:sz="1"/>
              <w:left w:val="single" w:color="BFBFBF" w:sz="1"/>
              <w:bottom w:val="single" w:color="BFBFBF" w:sz="1"/>
              <w:right w:val="single" w:color="BFBFBF" w:sz="1"/>
            </w:tcBorders>
            <w:shd w:fill="EBF3FA" w:val="clear"/>
            <w:tcMar>
              <w:top w:type="dxa" w:w="60"/>
              <w:left w:type="dxa" w:w="80"/>
              <w:bottom w:type="dxa" w:w="60"/>
              <w:right w:type="dxa" w:w="80"/>
            </w:tcMar>
          </w:tcPr>
          <w:p>
            <w:r>
              <w:rPr>
                <w:rFonts w:ascii="Arial" w:cs="Arial" w:eastAsia="Arial" w:hAnsi="Arial"/>
                <w:b w:val="false"/>
                <w:bCs w:val="false"/>
                <w:color w:val="595959"/>
                <w:sz w:val="17"/>
                <w:szCs w:val="17"/>
              </w:rPr>
              <w:t xml:space="preserve">Restrict OLS on VoiceCallRecording to QA/Compliance profiles; update Permission Sets</w:t>
            </w:r>
          </w:p>
        </w:tc>
      </w:tr>
      <w:tr>
        <w:tc>
          <w:tcPr>
            <w:tcW w:type="dxa" w:w="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15</w:t>
            </w:r>
          </w:p>
        </w:tc>
        <w:tc>
          <w:tcPr>
            <w:tcW w:type="dxa" w:w="18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Logging</w:t>
            </w:r>
          </w:p>
        </w:tc>
        <w:tc>
          <w:tcPr>
            <w:tcW w:type="dxa" w:w="16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Transcript access not audited beyond 18-month field history</w:t>
            </w:r>
          </w:p>
        </w:tc>
        <w:tc>
          <w:tcPr>
            <w:tcW w:type="dxa" w:w="14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12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MEDIUM</w:t>
            </w:r>
          </w:p>
        </w:tc>
        <w:tc>
          <w:tcPr>
            <w:tcW w:type="dxa" w:w="2700"/>
            <w:tcBorders>
              <w:top w:val="single" w:color="BFBFBF" w:sz="1"/>
              <w:left w:val="single" w:color="BFBFBF" w:sz="1"/>
              <w:bottom w:val="single" w:color="BFBFBF" w:sz="1"/>
              <w:right w:val="single" w:color="BFBFBF" w:sz="1"/>
            </w:tcBorders>
            <w:shd w:fill="FFFFFF" w:val="clear"/>
            <w:tcMar>
              <w:top w:type="dxa" w:w="60"/>
              <w:left w:type="dxa" w:w="80"/>
              <w:bottom w:type="dxa" w:w="60"/>
              <w:right w:type="dxa" w:w="80"/>
            </w:tcMar>
          </w:tcPr>
          <w:p>
            <w:r>
              <w:rPr>
                <w:rFonts w:ascii="Arial" w:cs="Arial" w:eastAsia="Arial" w:hAnsi="Arial"/>
                <w:b w:val="false"/>
                <w:bCs w:val="false"/>
                <w:color w:val="595959"/>
                <w:sz w:val="17"/>
                <w:szCs w:val="17"/>
              </w:rPr>
              <w:t xml:space="preserve">Enable Salesforce Shield Event Monitoring for transcript object access logs</w:t>
            </w:r>
          </w:p>
        </w:tc>
      </w:tr>
    </w:tbl>
    <w:p>
      <w:r>
        <w:br w:type="page"/>
      </w:r>
    </w:p>
    <w:p>
      <w:pPr>
        <w:pStyle w:val="Heading1"/>
      </w:pPr>
      <w:r>
        <w:rPr>
          <w:rFonts w:ascii="Arial" w:cs="Arial" w:eastAsia="Arial" w:hAnsi="Arial"/>
          <w:b/>
          <w:bCs/>
          <w:color w:val="FFFFFF"/>
          <w:sz w:val="28"/>
          <w:szCs w:val="28"/>
        </w:rPr>
        <w:t xml:space="preserve">Appendix A – References &amp; Standards</w:t>
      </w:r>
    </w:p>
    <w:p>
      <w:pPr>
        <w:spacing w:after="0" w:before="80"/>
      </w:pPr>
    </w:p>
    <w:p>
      <w:pPr>
        <w:pStyle w:val="ListParagraph"/>
        <w:numPr>
          <w:ilvl w:val="0"/>
          <w:numId w:val="2"/>
        </w:numPr>
        <w:spacing w:after="40" w:before="40"/>
      </w:pPr>
      <w:r>
        <w:rPr>
          <w:rFonts w:ascii="Arial" w:cs="Arial" w:eastAsia="Arial" w:hAnsi="Arial"/>
          <w:b w:val="false"/>
          <w:bCs w:val="false"/>
          <w:color w:val="595959"/>
          <w:sz w:val="20"/>
          <w:szCs w:val="20"/>
        </w:rPr>
        <w:t xml:space="preserve">Salesforce Service Cloud Voice Implementation Guide – https://help.salesforce.com/s/scv</w:t>
      </w:r>
    </w:p>
    <w:p>
      <w:pPr>
        <w:pStyle w:val="ListParagraph"/>
        <w:numPr>
          <w:ilvl w:val="0"/>
          <w:numId w:val="2"/>
        </w:numPr>
        <w:spacing w:after="40" w:before="40"/>
      </w:pPr>
      <w:r>
        <w:rPr>
          <w:rFonts w:ascii="Arial" w:cs="Arial" w:eastAsia="Arial" w:hAnsi="Arial"/>
          <w:b w:val="false"/>
          <w:bCs w:val="false"/>
          <w:color w:val="595959"/>
          <w:sz w:val="20"/>
          <w:szCs w:val="20"/>
        </w:rPr>
        <w:t xml:space="preserve">Genesys Cloud CX Security Overview – https://help.mypurecloud.com/articles/genesys-cloud-security/</w:t>
      </w:r>
    </w:p>
    <w:p>
      <w:pPr>
        <w:pStyle w:val="ListParagraph"/>
        <w:numPr>
          <w:ilvl w:val="0"/>
          <w:numId w:val="2"/>
        </w:numPr>
        <w:spacing w:after="40" w:before="40"/>
      </w:pPr>
      <w:r>
        <w:rPr>
          <w:rFonts w:ascii="Arial" w:cs="Arial" w:eastAsia="Arial" w:hAnsi="Arial"/>
          <w:b w:val="false"/>
          <w:bCs w:val="false"/>
          <w:color w:val="595959"/>
          <w:sz w:val="20"/>
          <w:szCs w:val="20"/>
        </w:rPr>
        <w:t xml:space="preserve">Salesforce Shared Responsibility Model – https://trust.salesforce.com</w:t>
      </w:r>
    </w:p>
    <w:p>
      <w:pPr>
        <w:pStyle w:val="ListParagraph"/>
        <w:numPr>
          <w:ilvl w:val="0"/>
          <w:numId w:val="2"/>
        </w:numPr>
        <w:spacing w:after="40" w:before="40"/>
      </w:pPr>
      <w:r>
        <w:rPr>
          <w:rFonts w:ascii="Arial" w:cs="Arial" w:eastAsia="Arial" w:hAnsi="Arial"/>
          <w:b w:val="false"/>
          <w:bCs w:val="false"/>
          <w:color w:val="595959"/>
          <w:sz w:val="20"/>
          <w:szCs w:val="20"/>
        </w:rPr>
        <w:t xml:space="preserve">NIST Cybersecurity Framework 2.0 – https://www.nist.gov/cyberframework</w:t>
      </w:r>
    </w:p>
    <w:p>
      <w:pPr>
        <w:pStyle w:val="ListParagraph"/>
        <w:numPr>
          <w:ilvl w:val="0"/>
          <w:numId w:val="2"/>
        </w:numPr>
        <w:spacing w:after="40" w:before="40"/>
      </w:pPr>
      <w:r>
        <w:rPr>
          <w:rFonts w:ascii="Arial" w:cs="Arial" w:eastAsia="Arial" w:hAnsi="Arial"/>
          <w:b w:val="false"/>
          <w:bCs w:val="false"/>
          <w:color w:val="595959"/>
          <w:sz w:val="20"/>
          <w:szCs w:val="20"/>
        </w:rPr>
        <w:t xml:space="preserve">CIS Controls v8 – https://www.cisecurity.org/controls/v8</w:t>
      </w:r>
    </w:p>
    <w:p>
      <w:pPr>
        <w:pStyle w:val="ListParagraph"/>
        <w:numPr>
          <w:ilvl w:val="0"/>
          <w:numId w:val="2"/>
        </w:numPr>
        <w:spacing w:after="40" w:before="40"/>
      </w:pPr>
      <w:r>
        <w:rPr>
          <w:rFonts w:ascii="Arial" w:cs="Arial" w:eastAsia="Arial" w:hAnsi="Arial"/>
          <w:b w:val="false"/>
          <w:bCs w:val="false"/>
          <w:color w:val="595959"/>
          <w:sz w:val="20"/>
          <w:szCs w:val="20"/>
        </w:rPr>
        <w:t xml:space="preserve">Salesforce Shield Platform Encryption – Salesforce Help Documentation</w:t>
      </w:r>
    </w:p>
    <w:p>
      <w:pPr>
        <w:pStyle w:val="ListParagraph"/>
        <w:numPr>
          <w:ilvl w:val="0"/>
          <w:numId w:val="2"/>
        </w:numPr>
        <w:spacing w:after="40" w:before="40"/>
      </w:pPr>
      <w:r>
        <w:rPr>
          <w:rFonts w:ascii="Arial" w:cs="Arial" w:eastAsia="Arial" w:hAnsi="Arial"/>
          <w:b w:val="false"/>
          <w:bCs w:val="false"/>
          <w:color w:val="595959"/>
          <w:sz w:val="20"/>
          <w:szCs w:val="20"/>
        </w:rPr>
        <w:t xml:space="preserve">Amazon Connect Security Documentation – AWS Documentation Portal</w:t>
      </w:r>
    </w:p>
    <w:p>
      <w:pPr>
        <w:pStyle w:val="ListParagraph"/>
        <w:numPr>
          <w:ilvl w:val="0"/>
          <w:numId w:val="2"/>
        </w:numPr>
        <w:spacing w:after="40" w:before="40"/>
      </w:pPr>
      <w:r>
        <w:rPr>
          <w:rFonts w:ascii="Arial" w:cs="Arial" w:eastAsia="Arial" w:hAnsi="Arial"/>
          <w:b w:val="false"/>
          <w:bCs w:val="false"/>
          <w:color w:val="595959"/>
          <w:sz w:val="20"/>
          <w:szCs w:val="20"/>
        </w:rPr>
        <w:t xml:space="preserve">Genesys BYOT (Bring Your Own Telephony) Architecture Guide</w:t>
      </w:r>
    </w:p>
    <w:p>
      <w:pPr>
        <w:spacing w:after="0" w:before="120"/>
      </w:pPr>
    </w:p>
    <w:p>
      <w:pPr>
        <w:pStyle w:val="Heading1"/>
      </w:pPr>
      <w:r>
        <w:rPr>
          <w:rFonts w:ascii="Arial" w:cs="Arial" w:eastAsia="Arial" w:hAnsi="Arial"/>
          <w:b/>
          <w:bCs/>
          <w:color w:val="FFFFFF"/>
          <w:sz w:val="28"/>
          <w:szCs w:val="28"/>
        </w:rPr>
        <w:t xml:space="preserve">Appendix B – Glossary</w:t>
      </w:r>
    </w:p>
    <w:p>
      <w:pPr>
        <w:spacing w:after="0" w:before="80"/>
      </w:pPr>
    </w:p>
    <w:p>
      <w:pPr>
        <w:tabs>
          <w:tab w:val="left" w:pos="1200"/>
        </w:tabs>
        <w:spacing w:after="40" w:before="40"/>
      </w:pPr>
      <w:r>
        <w:rPr>
          <w:rFonts w:ascii="Arial" w:cs="Arial" w:eastAsia="Arial" w:hAnsi="Arial"/>
          <w:b/>
          <w:bCs/>
          <w:color w:val="1B3A6B"/>
          <w:sz w:val="19"/>
          <w:szCs w:val="19"/>
        </w:rPr>
        <w:t xml:space="preserve">BYOT</w:t>
      </w:r>
      <w:r>
        <w:rPr>
          <w:rFonts w:ascii="Arial" w:cs="Arial" w:eastAsia="Arial" w:hAnsi="Arial"/>
          <w:color w:val="595959"/>
          <w:sz w:val="19"/>
          <w:szCs w:val="19"/>
        </w:rPr>
        <w:t xml:space="preserve">	Bring Your Own Telephony – Salesforce SCV model where a partner (Genesys) provides telephony</w:t>
      </w:r>
    </w:p>
    <w:p>
      <w:pPr>
        <w:tabs>
          <w:tab w:val="left" w:pos="1200"/>
        </w:tabs>
        <w:spacing w:after="40" w:before="40"/>
      </w:pPr>
      <w:r>
        <w:rPr>
          <w:rFonts w:ascii="Arial" w:cs="Arial" w:eastAsia="Arial" w:hAnsi="Arial"/>
          <w:b/>
          <w:bCs/>
          <w:color w:val="1B3A6B"/>
          <w:sz w:val="19"/>
          <w:szCs w:val="19"/>
        </w:rPr>
        <w:t xml:space="preserve">CCAS</w:t>
      </w:r>
      <w:r>
        <w:rPr>
          <w:rFonts w:ascii="Arial" w:cs="Arial" w:eastAsia="Arial" w:hAnsi="Arial"/>
          <w:color w:val="595959"/>
          <w:sz w:val="19"/>
          <w:szCs w:val="19"/>
        </w:rPr>
        <w:t xml:space="preserve">	Contact Centre as a Service – Genesys Cloud CX deployment model</w:t>
      </w:r>
    </w:p>
    <w:p>
      <w:pPr>
        <w:tabs>
          <w:tab w:val="left" w:pos="1200"/>
        </w:tabs>
        <w:spacing w:after="40" w:before="40"/>
      </w:pPr>
      <w:r>
        <w:rPr>
          <w:rFonts w:ascii="Arial" w:cs="Arial" w:eastAsia="Arial" w:hAnsi="Arial"/>
          <w:b/>
          <w:bCs/>
          <w:color w:val="1B3A6B"/>
          <w:sz w:val="19"/>
          <w:szCs w:val="19"/>
        </w:rPr>
        <w:t xml:space="preserve">CMEK</w:t>
      </w:r>
      <w:r>
        <w:rPr>
          <w:rFonts w:ascii="Arial" w:cs="Arial" w:eastAsia="Arial" w:hAnsi="Arial"/>
          <w:color w:val="595959"/>
          <w:sz w:val="19"/>
          <w:szCs w:val="19"/>
        </w:rPr>
        <w:t xml:space="preserve">	Customer-Managed Encryption Keys</w:t>
      </w:r>
    </w:p>
    <w:p>
      <w:pPr>
        <w:tabs>
          <w:tab w:val="left" w:pos="1200"/>
        </w:tabs>
        <w:spacing w:after="40" w:before="40"/>
      </w:pPr>
      <w:r>
        <w:rPr>
          <w:rFonts w:ascii="Arial" w:cs="Arial" w:eastAsia="Arial" w:hAnsi="Arial"/>
          <w:b/>
          <w:bCs/>
          <w:color w:val="1B3A6B"/>
          <w:sz w:val="19"/>
          <w:szCs w:val="19"/>
        </w:rPr>
        <w:t xml:space="preserve">CTI</w:t>
      </w:r>
      <w:r>
        <w:rPr>
          <w:rFonts w:ascii="Arial" w:cs="Arial" w:eastAsia="Arial" w:hAnsi="Arial"/>
          <w:color w:val="595959"/>
          <w:sz w:val="19"/>
          <w:szCs w:val="19"/>
        </w:rPr>
        <w:t xml:space="preserve">	Computer Telephony Integration – legacy Salesforce Open CTI model being replaced</w:t>
      </w:r>
    </w:p>
    <w:p>
      <w:pPr>
        <w:tabs>
          <w:tab w:val="left" w:pos="1200"/>
        </w:tabs>
        <w:spacing w:after="40" w:before="40"/>
      </w:pPr>
      <w:r>
        <w:rPr>
          <w:rFonts w:ascii="Arial" w:cs="Arial" w:eastAsia="Arial" w:hAnsi="Arial"/>
          <w:b/>
          <w:bCs/>
          <w:color w:val="1B3A6B"/>
          <w:sz w:val="19"/>
          <w:szCs w:val="19"/>
        </w:rPr>
        <w:t xml:space="preserve">DLP</w:t>
      </w:r>
      <w:r>
        <w:rPr>
          <w:rFonts w:ascii="Arial" w:cs="Arial" w:eastAsia="Arial" w:hAnsi="Arial"/>
          <w:color w:val="595959"/>
          <w:sz w:val="19"/>
          <w:szCs w:val="19"/>
        </w:rPr>
        <w:t xml:space="preserve">	Data Loss Prevention</w:t>
      </w:r>
    </w:p>
    <w:p>
      <w:pPr>
        <w:tabs>
          <w:tab w:val="left" w:pos="1200"/>
        </w:tabs>
        <w:spacing w:after="40" w:before="40"/>
      </w:pPr>
      <w:r>
        <w:rPr>
          <w:rFonts w:ascii="Arial" w:cs="Arial" w:eastAsia="Arial" w:hAnsi="Arial"/>
          <w:b/>
          <w:bCs/>
          <w:color w:val="1B3A6B"/>
          <w:sz w:val="19"/>
          <w:szCs w:val="19"/>
        </w:rPr>
        <w:t xml:space="preserve">FLS</w:t>
      </w:r>
      <w:r>
        <w:rPr>
          <w:rFonts w:ascii="Arial" w:cs="Arial" w:eastAsia="Arial" w:hAnsi="Arial"/>
          <w:color w:val="595959"/>
          <w:sz w:val="19"/>
          <w:szCs w:val="19"/>
        </w:rPr>
        <w:t xml:space="preserve">	Field-Level Security – Salesforce object field access control</w:t>
      </w:r>
    </w:p>
    <w:p>
      <w:pPr>
        <w:tabs>
          <w:tab w:val="left" w:pos="1200"/>
        </w:tabs>
        <w:spacing w:after="40" w:before="40"/>
      </w:pPr>
      <w:r>
        <w:rPr>
          <w:rFonts w:ascii="Arial" w:cs="Arial" w:eastAsia="Arial" w:hAnsi="Arial"/>
          <w:b/>
          <w:bCs/>
          <w:color w:val="1B3A6B"/>
          <w:sz w:val="19"/>
          <w:szCs w:val="19"/>
        </w:rPr>
        <w:t xml:space="preserve">LWS</w:t>
      </w:r>
      <w:r>
        <w:rPr>
          <w:rFonts w:ascii="Arial" w:cs="Arial" w:eastAsia="Arial" w:hAnsi="Arial"/>
          <w:color w:val="595959"/>
          <w:sz w:val="19"/>
          <w:szCs w:val="19"/>
        </w:rPr>
        <w:t xml:space="preserve">	Lightning Web Security – successor to Locker Service for LWC sandboxing</w:t>
      </w:r>
    </w:p>
    <w:p>
      <w:pPr>
        <w:tabs>
          <w:tab w:val="left" w:pos="1200"/>
        </w:tabs>
        <w:spacing w:after="40" w:before="40"/>
      </w:pPr>
      <w:r>
        <w:rPr>
          <w:rFonts w:ascii="Arial" w:cs="Arial" w:eastAsia="Arial" w:hAnsi="Arial"/>
          <w:b/>
          <w:bCs/>
          <w:color w:val="1B3A6B"/>
          <w:sz w:val="19"/>
          <w:szCs w:val="19"/>
        </w:rPr>
        <w:t xml:space="preserve">mTLS</w:t>
      </w:r>
      <w:r>
        <w:rPr>
          <w:rFonts w:ascii="Arial" w:cs="Arial" w:eastAsia="Arial" w:hAnsi="Arial"/>
          <w:color w:val="595959"/>
          <w:sz w:val="19"/>
          <w:szCs w:val="19"/>
        </w:rPr>
        <w:t xml:space="preserve">	Mutual TLS – both client and server present certificates</w:t>
      </w:r>
    </w:p>
    <w:p>
      <w:pPr>
        <w:tabs>
          <w:tab w:val="left" w:pos="1200"/>
        </w:tabs>
        <w:spacing w:after="40" w:before="40"/>
      </w:pPr>
      <w:r>
        <w:rPr>
          <w:rFonts w:ascii="Arial" w:cs="Arial" w:eastAsia="Arial" w:hAnsi="Arial"/>
          <w:b/>
          <w:bCs/>
          <w:color w:val="1B3A6B"/>
          <w:sz w:val="19"/>
          <w:szCs w:val="19"/>
        </w:rPr>
        <w:t xml:space="preserve">OLS</w:t>
      </w:r>
      <w:r>
        <w:rPr>
          <w:rFonts w:ascii="Arial" w:cs="Arial" w:eastAsia="Arial" w:hAnsi="Arial"/>
          <w:color w:val="595959"/>
          <w:sz w:val="19"/>
          <w:szCs w:val="19"/>
        </w:rPr>
        <w:t xml:space="preserve">	Object-Level Security – Salesforce CRUD permissions on objects</w:t>
      </w:r>
    </w:p>
    <w:p>
      <w:pPr>
        <w:tabs>
          <w:tab w:val="left" w:pos="1200"/>
        </w:tabs>
        <w:spacing w:after="40" w:before="40"/>
      </w:pPr>
      <w:r>
        <w:rPr>
          <w:rFonts w:ascii="Arial" w:cs="Arial" w:eastAsia="Arial" w:hAnsi="Arial"/>
          <w:b/>
          <w:bCs/>
          <w:color w:val="1B3A6B"/>
          <w:sz w:val="19"/>
          <w:szCs w:val="19"/>
        </w:rPr>
        <w:t xml:space="preserve">PAM</w:t>
      </w:r>
      <w:r>
        <w:rPr>
          <w:rFonts w:ascii="Arial" w:cs="Arial" w:eastAsia="Arial" w:hAnsi="Arial"/>
          <w:color w:val="595959"/>
          <w:sz w:val="19"/>
          <w:szCs w:val="19"/>
        </w:rPr>
        <w:t xml:space="preserve">	Privileged Access Management</w:t>
      </w:r>
    </w:p>
    <w:p>
      <w:pPr>
        <w:tabs>
          <w:tab w:val="left" w:pos="1200"/>
        </w:tabs>
        <w:spacing w:after="40" w:before="40"/>
      </w:pPr>
      <w:r>
        <w:rPr>
          <w:rFonts w:ascii="Arial" w:cs="Arial" w:eastAsia="Arial" w:hAnsi="Arial"/>
          <w:b/>
          <w:bCs/>
          <w:color w:val="1B3A6B"/>
          <w:sz w:val="19"/>
          <w:szCs w:val="19"/>
        </w:rPr>
        <w:t xml:space="preserve">SRTP</w:t>
      </w:r>
      <w:r>
        <w:rPr>
          <w:rFonts w:ascii="Arial" w:cs="Arial" w:eastAsia="Arial" w:hAnsi="Arial"/>
          <w:color w:val="595959"/>
          <w:sz w:val="19"/>
          <w:szCs w:val="19"/>
        </w:rPr>
        <w:t xml:space="preserve">	Secure Real-Time Transport Protocol – encrypted voice media</w:t>
      </w:r>
    </w:p>
    <w:p>
      <w:pPr>
        <w:tabs>
          <w:tab w:val="left" w:pos="1200"/>
        </w:tabs>
        <w:spacing w:after="40" w:before="40"/>
      </w:pPr>
      <w:r>
        <w:rPr>
          <w:rFonts w:ascii="Arial" w:cs="Arial" w:eastAsia="Arial" w:hAnsi="Arial"/>
          <w:b/>
          <w:bCs/>
          <w:color w:val="1B3A6B"/>
          <w:sz w:val="19"/>
          <w:szCs w:val="19"/>
        </w:rPr>
        <w:t xml:space="preserve">SCV</w:t>
      </w:r>
      <w:r>
        <w:rPr>
          <w:rFonts w:ascii="Arial" w:cs="Arial" w:eastAsia="Arial" w:hAnsi="Arial"/>
          <w:color w:val="595959"/>
          <w:sz w:val="19"/>
          <w:szCs w:val="19"/>
        </w:rPr>
        <w:t xml:space="preserve">	Salesforce Service Cloud Voice</w:t>
      </w:r>
    </w:p>
    <w:p>
      <w:pPr>
        <w:tabs>
          <w:tab w:val="left" w:pos="1200"/>
        </w:tabs>
        <w:spacing w:after="40" w:before="40"/>
      </w:pPr>
      <w:r>
        <w:rPr>
          <w:rFonts w:ascii="Arial" w:cs="Arial" w:eastAsia="Arial" w:hAnsi="Arial"/>
          <w:b/>
          <w:bCs/>
          <w:color w:val="1B3A6B"/>
          <w:sz w:val="19"/>
          <w:szCs w:val="19"/>
        </w:rPr>
        <w:t xml:space="preserve">SIEM</w:t>
      </w:r>
      <w:r>
        <w:rPr>
          <w:rFonts w:ascii="Arial" w:cs="Arial" w:eastAsia="Arial" w:hAnsi="Arial"/>
          <w:color w:val="595959"/>
          <w:sz w:val="19"/>
          <w:szCs w:val="19"/>
        </w:rPr>
        <w:t xml:space="preserve">	Security Information and Event Management</w:t>
      </w:r>
    </w:p>
    <w:p>
      <w:pPr>
        <w:tabs>
          <w:tab w:val="left" w:pos="1200"/>
        </w:tabs>
        <w:spacing w:after="40" w:before="40"/>
      </w:pPr>
      <w:r>
        <w:rPr>
          <w:rFonts w:ascii="Arial" w:cs="Arial" w:eastAsia="Arial" w:hAnsi="Arial"/>
          <w:b/>
          <w:bCs/>
          <w:color w:val="1B3A6B"/>
          <w:sz w:val="19"/>
          <w:szCs w:val="19"/>
        </w:rPr>
        <w:t xml:space="preserve">SRI</w:t>
      </w:r>
      <w:r>
        <w:rPr>
          <w:rFonts w:ascii="Arial" w:cs="Arial" w:eastAsia="Arial" w:hAnsi="Arial"/>
          <w:color w:val="595959"/>
          <w:sz w:val="19"/>
          <w:szCs w:val="19"/>
        </w:rPr>
        <w:t xml:space="preserve">	Subresource Integrity – browser security mechanism for CDN-loaded scripts</w:t>
      </w:r>
    </w:p>
    <w:p>
      <w:pPr>
        <w:tabs>
          <w:tab w:val="left" w:pos="1200"/>
        </w:tabs>
        <w:spacing w:after="40" w:before="40"/>
      </w:pPr>
      <w:r>
        <w:rPr>
          <w:rFonts w:ascii="Arial" w:cs="Arial" w:eastAsia="Arial" w:hAnsi="Arial"/>
          <w:b/>
          <w:bCs/>
          <w:color w:val="1B3A6B"/>
          <w:sz w:val="19"/>
          <w:szCs w:val="19"/>
        </w:rPr>
        <w:t xml:space="preserve">ZTNA</w:t>
      </w:r>
      <w:r>
        <w:rPr>
          <w:rFonts w:ascii="Arial" w:cs="Arial" w:eastAsia="Arial" w:hAnsi="Arial"/>
          <w:color w:val="595959"/>
          <w:sz w:val="19"/>
          <w:szCs w:val="19"/>
        </w:rPr>
        <w:t xml:space="preserve">	Zero Trust Network Access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595959"/>
        <w:sz w:val="16"/>
        <w:szCs w:val="16"/>
      </w:rPr>
      <w:t xml:space="preserve">Security Architecture Team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color w:val="595959"/>
        <w:sz w:val="18"/>
        <w:szCs w:val="18"/>
      </w:rPr>
      <w:t xml:space="preserve">Salesforce Service Cloud Voice – Platform Security Capability Assessment</w:t>
    </w:r>
    <w:r>
      <w:rPr>
        <w:rFonts w:ascii="Arial" w:cs="Arial" w:eastAsia="Arial" w:hAnsi="Arial"/>
        <w:b/>
        <w:bCs/>
        <w:color w:val="C55A11"/>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3A6B" w:val="clear"/>
      <w:spacing w:after="180" w:before="360"/>
      <w:ind w:left="360"/>
      <w:outlineLvl w:val="0"/>
    </w:pPr>
    <w:rPr>
      <w:rFonts w:ascii="Arial" w:cs="Arial" w:eastAsia="Arial" w:hAnsi="Arial"/>
      <w:b/>
      <w:bCs/>
      <w:color w:val="FFFFFF"/>
      <w:sz w:val="28"/>
      <w:szCs w:val="28"/>
    </w:rPr>
  </w:style>
  <w:style w:type="paragraph" w:styleId="Heading2">
    <w:name w:val="Heading 2"/>
    <w:basedOn w:val="Normal"/>
    <w:next w:val="Normal"/>
    <w:qFormat/>
    <w:pPr>
      <w:pBdr>
        <w:bottom w:val="single" w:color="2E75B6" w:sz="4" w:space="1"/>
      </w:pBdr>
      <w:spacing w:after="120" w:before="300"/>
      <w:outlineLvl w:val="1"/>
    </w:pPr>
    <w:rPr>
      <w:rFonts w:ascii="Arial" w:cs="Arial" w:eastAsia="Arial" w:hAnsi="Arial"/>
      <w:b/>
      <w:bCs/>
      <w:color w:val="1B3A6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2026-05-20T14:39:32.561Z</dcterms:created>
  <dcterms:modified xsi:type="dcterms:W3CDTF">2026-05-20T14:39:32.561Z</dcterms:modified>
</cp:coreProperties>
</file>

<file path=docProps/custom.xml><?xml version="1.0" encoding="utf-8"?>
<Properties xmlns="http://schemas.openxmlformats.org/officeDocument/2006/custom-properties" xmlns:vt="http://schemas.openxmlformats.org/officeDocument/2006/docPropsVTypes"/>
</file>