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600"/>
              <w:left w:type="dxa" w:w="520"/>
              <w:bottom w:type="dxa" w:w="600"/>
              <w:right w:type="dxa" w:w="520"/>
            </w:tcMar>
          </w:tcPr>
          <w:p>
            <w:pPr>
              <w:spacing w:after="100" w:before="0"/>
              <w:jc w:val="center"/>
            </w:pPr>
            <w:r>
              <w:rPr>
                <w:rFonts w:ascii="Arial" w:cs="Arial" w:eastAsia="Arial" w:hAnsi="Arial"/>
                <w:color w:val="9DC3E6"/>
                <w:sz w:val="22"/>
                <w:szCs w:val="22"/>
              </w:rPr>
              <w:t xml:space="preserve">SOBEYS INC.  |  MERCHANT ACQUIRER MIGRATION</w:t>
            </w:r>
          </w:p>
          <w:p>
            <w:pPr>
              <w:spacing w:after="60" w:before="60"/>
              <w:jc w:val="center"/>
            </w:pPr>
            <w:r>
              <w:rPr>
                <w:rFonts w:ascii="Arial" w:cs="Arial" w:eastAsia="Arial" w:hAnsi="Arial"/>
                <w:b/>
                <w:bCs/>
                <w:color w:val="FFFFFF"/>
                <w:sz w:val="48"/>
                <w:szCs w:val="48"/>
              </w:rPr>
              <w:t xml:space="preserve">Global Payments — Secure Deployment</w:t>
            </w:r>
          </w:p>
          <w:p>
            <w:pPr>
              <w:spacing w:after="100" w:before="60"/>
              <w:jc w:val="center"/>
            </w:pPr>
            <w:r>
              <w:rPr>
                <w:rFonts w:ascii="Arial" w:cs="Arial" w:eastAsia="Arial" w:hAnsi="Arial"/>
                <w:b/>
                <w:bCs/>
                <w:color w:val="FFFFFF"/>
                <w:sz w:val="34"/>
                <w:szCs w:val="34"/>
              </w:rPr>
              <w:t xml:space="preserve">Sobeys-Side Security Requirements Register</w:t>
            </w:r>
          </w:p>
          <w:p>
            <w:pPr>
              <w:spacing w:after="0" w:before="80"/>
              <w:jc w:val="center"/>
            </w:pPr>
            <w:r>
              <w:rPr>
                <w:rFonts w:ascii="Arial" w:cs="Arial" w:eastAsia="Arial" w:hAnsi="Arial"/>
                <w:i/>
                <w:iCs/>
                <w:color w:val="9DC3E6"/>
                <w:sz w:val="21"/>
                <w:szCs w:val="21"/>
              </w:rPr>
              <w:t xml:space="preserve">Controls Sobeys Must Implement for a Secure, Compliant Deployment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Classification: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CONFIDENTIAL — Internal Use Only</w:t>
            </w:r>
          </w:p>
        </w:tc>
      </w:tr>
      <w:tr>
        <w:tc>
          <w:tcPr>
            <w:tcW w:type="dxa" w:w="20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Prepared By: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Security Architecture Team</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Date: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May 25, 2026</w:t>
            </w:r>
          </w:p>
        </w:tc>
      </w:tr>
      <w:tr>
        <w:tc>
          <w:tcPr>
            <w:tcW w:type="dxa" w:w="20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 — Initial Draft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19"/>
                <w:szCs w:val="19"/>
              </w:rPr>
              <w:t xml:space="preserve">Standards Referenced: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PCI DSS v4.0, Quebec Law 25, PIPEDA, NIST CSF 2.0, ISO 27001:2022, OWASP API Top 10 2023, CIS Controls v8</w:t>
            </w:r>
          </w:p>
        </w:tc>
      </w:tr>
      <w:tr>
        <w:tc>
          <w:tcPr>
            <w:tcW w:type="dxa" w:w="2000"/>
            <w:tcBorders>
              <w:top w:val="single" w:color="CCCCCC" w:sz="1"/>
              <w:left w:val="single" w:color="CCCCCC" w:sz="1"/>
              <w:bottom w:val="single" w:color="CCCCCC" w:sz="1"/>
              <w:right w:val="single" w:color="CCCCCC" w:sz="1"/>
            </w:tcBorders>
            <w:shd w:fill="C9DAEA" w:val="clear"/>
            <w:tcMar>
              <w:top w:type="dxa" w:w="80"/>
              <w:left w:type="dxa" w:w="120"/>
              <w:bottom w:type="dxa" w:w="80"/>
              <w:right w:type="dxa" w:w="120"/>
            </w:tcMar>
          </w:tcPr>
          <w:p>
            <w:r>
              <w:rPr>
                <w:rFonts w:ascii="Arial" w:cs="Arial" w:eastAsia="Arial" w:hAnsi="Arial"/>
                <w:b/>
                <w:bCs/>
                <w:color w:val="1F3864"/>
                <w:sz w:val="19"/>
                <w:szCs w:val="19"/>
              </w:rPr>
              <w:t xml:space="preserve">Total Requirements: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88 requirements across 11 security domains</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30"/>
              <w:left w:type="dxa" w:w="200"/>
              <w:bottom w:type="dxa" w:w="130"/>
              <w:right w:type="dxa" w:w="200"/>
            </w:tcMar>
          </w:tcPr>
          <w:p>
            <w:r>
              <w:rPr>
                <w:rFonts w:ascii="Arial" w:cs="Arial" w:eastAsia="Arial" w:hAnsi="Arial"/>
                <w:b/>
                <w:bCs/>
                <w:color w:val="FFFFFF"/>
                <w:sz w:val="28"/>
                <w:szCs w:val="28"/>
              </w:rPr>
              <w:t xml:space="preserve">How to Use This Document</w:t>
            </w:r>
          </w:p>
        </w:tc>
      </w:tr>
    </w:tbl>
    <w:p>
      <w:pPr>
        <w:spacing w:after="60" w:before="60"/>
      </w:pPr>
      <w:r>
        <w:t xml:space="preserve"/>
      </w:r>
    </w:p>
    <w:p>
      <w:pPr>
        <w:spacing w:after="50" w:before="50"/>
      </w:pPr>
      <w:r>
        <w:rPr>
          <w:rFonts w:ascii="Arial" w:cs="Arial" w:eastAsia="Arial" w:hAnsi="Arial"/>
          <w:color w:val="1A1A1A"/>
          <w:sz w:val="20"/>
          <w:szCs w:val="20"/>
        </w:rPr>
        <w:t xml:space="preserve">This register defines all security controls that Sobeys must implement on its own infrastructure, network, applications, and processes to ensure a secure and compliant deployment of the Global Payments merchant acquiring platform. Controls are mapped to PCI DSS v4.0, Quebec Law 25, PIPEDA, and other applicable standards.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45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PRIORITY</w:t>
            </w:r>
          </w:p>
        </w:tc>
        <w:tc>
          <w:tcPr>
            <w:tcW w:type="dxa" w:w="1200"/>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CRITICAL</w:t>
            </w:r>
          </w:p>
        </w:tc>
        <w:tc>
          <w:tcPr>
            <w:tcW w:type="dxa" w:w="1200"/>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HIGH</w:t>
            </w:r>
          </w:p>
        </w:tc>
        <w:tc>
          <w:tcPr>
            <w:tcW w:type="dxa" w:w="1200"/>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MEDIUM</w:t>
            </w:r>
          </w:p>
        </w:tc>
        <w:tc>
          <w:tcPr>
            <w:tcW w:type="dxa" w:w="4560"/>
            <w:tcBorders>
              <w:top w:val="single" w:color="1F3864" w:sz="1"/>
              <w:left w:val="single" w:color="1F3864" w:sz="1"/>
              <w:bottom w:val="single" w:color="1F3864" w:sz="1"/>
              <w:right w:val="single" w:color="1F3864" w:sz="1"/>
            </w:tcBorders>
            <w:shd w:fill="1F3864" w:val="clear"/>
            <w:tcMar>
              <w:top w:type="dxa" w:w="70"/>
              <w:left w:type="dxa" w:w="80"/>
              <w:bottom w:type="dxa" w:w="70"/>
              <w:right w:type="dxa" w:w="80"/>
            </w:tcMar>
          </w:tcPr>
          <w:p>
            <w:pPr>
              <w:jc w:val="center"/>
            </w:pPr>
            <w:r>
              <w:rPr>
                <w:rFonts w:ascii="Arial" w:cs="Arial" w:eastAsia="Arial" w:hAnsi="Arial"/>
                <w:b/>
                <w:bCs/>
                <w:color w:val="FFFFFF"/>
                <w:sz w:val="17"/>
                <w:szCs w:val="17"/>
              </w:rPr>
              <w:t xml:space="preserve">LOW / INFO</w:t>
            </w:r>
          </w:p>
        </w:tc>
      </w:tr>
      <w:tr>
        <w:tc>
          <w:tcPr>
            <w:tcW w:type="dxa" w:w="12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7"/>
                <w:szCs w:val="17"/>
              </w:rPr>
              <w:t xml:space="preserve">Definition</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r>
              <w:rPr>
                <w:rFonts w:ascii="Arial" w:cs="Arial" w:eastAsia="Arial" w:hAnsi="Arial"/>
                <w:color w:val="FFFFFF"/>
                <w:sz w:val="17"/>
                <w:szCs w:val="17"/>
              </w:rPr>
              <w:t xml:space="preserve">Non-negotiable. Blocks go-live if not in place.</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tcPr>
          <w:p>
            <w:r>
              <w:rPr>
                <w:rFonts w:ascii="Arial" w:cs="Arial" w:eastAsia="Arial" w:hAnsi="Arial"/>
                <w:color w:val="1A1A1A"/>
                <w:sz w:val="17"/>
                <w:szCs w:val="17"/>
              </w:rPr>
              <w:t xml:space="preserve">Must be in place at or very shortly after go-live.</w:t>
            </w:r>
          </w:p>
        </w:tc>
        <w:tc>
          <w:tcPr>
            <w:tcW w:type="dxa" w:w="1200"/>
            <w:tcBorders>
              <w:top w:val="single" w:color="CCCCCC" w:sz="1"/>
              <w:left w:val="single" w:color="CCCCCC" w:sz="1"/>
              <w:bottom w:val="single" w:color="CCCCCC" w:sz="1"/>
              <w:right w:val="single" w:color="CCCCCC" w:sz="1"/>
            </w:tcBorders>
            <w:shd w:fill="FFD966" w:val="clear"/>
            <w:tcMar>
              <w:top w:type="dxa" w:w="80"/>
              <w:left w:type="dxa" w:w="80"/>
              <w:bottom w:type="dxa" w:w="80"/>
              <w:right w:type="dxa" w:w="80"/>
            </w:tcMar>
          </w:tcPr>
          <w:p>
            <w:r>
              <w:rPr>
                <w:rFonts w:ascii="Arial" w:cs="Arial" w:eastAsia="Arial" w:hAnsi="Arial"/>
                <w:color w:val="1A1A1A"/>
                <w:sz w:val="17"/>
                <w:szCs w:val="17"/>
              </w:rPr>
              <w:t xml:space="preserve">Address within 30–90 days post go-live.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Enhances security posture; address within 90 days or as part of ongoing programme.</w:t>
            </w:r>
          </w:p>
        </w:tc>
      </w:tr>
    </w:tbl>
    <w:p>
      <w:pPr>
        <w:spacing w:after="5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4560"/>
      </w:tblGrid>
      <w:tr>
        <w:trPr>
          <w:tblHeader/>
        </w:trPr>
        <w:tc>
          <w:tcPr>
            <w:tcW w:type="dxa" w:w="1200"/>
            <w:tcBorders>
              <w:top w:val="single" w:color="17375E" w:sz="1"/>
              <w:left w:val="single" w:color="17375E" w:sz="1"/>
              <w:bottom w:val="single" w:color="17375E" w:sz="1"/>
              <w:right w:val="single" w:color="17375E" w:sz="1"/>
            </w:tcBorders>
            <w:shd w:fill="17375E"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PHASE</w:t>
            </w:r>
          </w:p>
        </w:tc>
        <w:tc>
          <w:tcPr>
            <w:tcW w:type="dxa" w:w="1200"/>
            <w:tcBorders>
              <w:top w:val="single" w:color="17375E" w:sz="1"/>
              <w:left w:val="single" w:color="17375E" w:sz="1"/>
              <w:bottom w:val="single" w:color="17375E" w:sz="1"/>
              <w:right w:val="single" w:color="17375E" w:sz="1"/>
            </w:tcBorders>
            <w:shd w:fill="17375E"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Pre-Go-Live</w:t>
            </w:r>
          </w:p>
        </w:tc>
        <w:tc>
          <w:tcPr>
            <w:tcW w:type="dxa" w:w="1200"/>
            <w:tcBorders>
              <w:top w:val="single" w:color="17375E" w:sz="1"/>
              <w:left w:val="single" w:color="17375E" w:sz="1"/>
              <w:bottom w:val="single" w:color="17375E" w:sz="1"/>
              <w:right w:val="single" w:color="17375E" w:sz="1"/>
            </w:tcBorders>
            <w:shd w:fill="17375E" w:val="clear"/>
            <w:tcMar>
              <w:top w:type="dxa" w:w="70"/>
              <w:left w:type="dxa" w:w="80"/>
              <w:bottom w:type="dxa" w:w="70"/>
              <w:right w:type="dxa" w:w="80"/>
            </w:tcMar>
          </w:tcPr>
          <w:p>
            <w:pPr>
              <w:jc w:val="center"/>
            </w:pPr>
            <w:r>
              <w:rPr>
                <w:rFonts w:ascii="Arial" w:cs="Arial" w:eastAsia="Arial" w:hAnsi="Arial"/>
                <w:b/>
                <w:bCs/>
                <w:color w:val="FFFFFF"/>
                <w:sz w:val="17"/>
                <w:szCs w:val="17"/>
              </w:rPr>
              <w:t xml:space="preserve">At Go-Live</w:t>
            </w:r>
          </w:p>
        </w:tc>
        <w:tc>
          <w:tcPr>
            <w:tcW w:type="dxa" w:w="1200"/>
            <w:tcBorders>
              <w:top w:val="single" w:color="17375E" w:sz="1"/>
              <w:left w:val="single" w:color="17375E" w:sz="1"/>
              <w:bottom w:val="single" w:color="17375E" w:sz="1"/>
              <w:right w:val="single" w:color="17375E" w:sz="1"/>
            </w:tcBorders>
            <w:shd w:fill="17375E" w:val="clear"/>
            <w:tcMar>
              <w:top w:type="dxa" w:w="70"/>
              <w:left w:type="dxa" w:w="80"/>
              <w:bottom w:type="dxa" w:w="70"/>
              <w:right w:type="dxa" w:w="80"/>
            </w:tcMar>
          </w:tcPr>
          <w:p>
            <w:pPr>
              <w:jc w:val="center"/>
            </w:pPr>
            <w:r>
              <w:rPr>
                <w:rFonts w:ascii="Arial" w:cs="Arial" w:eastAsia="Arial" w:hAnsi="Arial"/>
                <w:b/>
                <w:bCs/>
                <w:color w:val="FFFFFF"/>
                <w:sz w:val="17"/>
                <w:szCs w:val="17"/>
              </w:rPr>
              <w:t xml:space="preserve">Post (30-90d)</w:t>
            </w:r>
          </w:p>
        </w:tc>
        <w:tc>
          <w:tcPr>
            <w:tcW w:type="dxa" w:w="4560"/>
            <w:tcBorders>
              <w:top w:val="single" w:color="17375E" w:sz="1"/>
              <w:left w:val="single" w:color="17375E" w:sz="1"/>
              <w:bottom w:val="single" w:color="17375E" w:sz="1"/>
              <w:right w:val="single" w:color="17375E" w:sz="1"/>
            </w:tcBorders>
            <w:shd w:fill="17375E" w:val="clear"/>
            <w:tcMar>
              <w:top w:type="dxa" w:w="70"/>
              <w:left w:type="dxa" w:w="80"/>
              <w:bottom w:type="dxa" w:w="70"/>
              <w:right w:type="dxa" w:w="80"/>
            </w:tcMar>
          </w:tcPr>
          <w:p>
            <w:pPr>
              <w:jc w:val="center"/>
            </w:pPr>
            <w:r>
              <w:rPr>
                <w:rFonts w:ascii="Arial" w:cs="Arial" w:eastAsia="Arial" w:hAnsi="Arial"/>
                <w:b/>
                <w:bCs/>
                <w:color w:val="FFFFFF"/>
                <w:sz w:val="17"/>
                <w:szCs w:val="17"/>
              </w:rPr>
              <w:t xml:space="preserve">Ongoing</w:t>
            </w:r>
          </w:p>
        </w:tc>
      </w:tr>
      <w:tr>
        <w:tc>
          <w:tcPr>
            <w:tcW w:type="dxa" w:w="1200"/>
            <w:tcBorders>
              <w:top w:val="single" w:color="CCCCCC" w:sz="1"/>
              <w:left w:val="single" w:color="CCCCCC" w:sz="1"/>
              <w:bottom w:val="single" w:color="CCCCCC" w:sz="1"/>
              <w:right w:val="single" w:color="CCCCCC" w:sz="1"/>
            </w:tcBorders>
            <w:shd w:fill="17375E" w:val="clear"/>
            <w:tcMar>
              <w:top w:type="dxa" w:w="80"/>
              <w:left w:type="dxa" w:w="80"/>
              <w:bottom w:type="dxa" w:w="80"/>
              <w:right w:type="dxa" w:w="80"/>
            </w:tcMar>
          </w:tcPr>
          <w:p>
            <w:pPr>
              <w:jc w:val="center"/>
            </w:pPr>
            <w:r>
              <w:rPr>
                <w:rFonts w:ascii="Arial" w:cs="Arial" w:eastAsia="Arial" w:hAnsi="Arial"/>
                <w:b/>
                <w:bCs/>
                <w:color w:val="FFFFFF"/>
                <w:sz w:val="17"/>
                <w:szCs w:val="17"/>
              </w:rPr>
              <w:t xml:space="preserve">Definition</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tcPr>
          <w:p>
            <w:r>
              <w:rPr>
                <w:rFonts w:ascii="Arial" w:cs="Arial" w:eastAsia="Arial" w:hAnsi="Arial"/>
                <w:color w:val="FFFFFF"/>
                <w:sz w:val="17"/>
                <w:szCs w:val="17"/>
              </w:rPr>
              <w:t xml:space="preserve">Must be complete before first live transaction.</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tcPr>
          <w:p>
            <w:r>
              <w:rPr>
                <w:rFonts w:ascii="Arial" w:cs="Arial" w:eastAsia="Arial" w:hAnsi="Arial"/>
                <w:color w:val="1A1A1A"/>
                <w:sz w:val="17"/>
                <w:szCs w:val="17"/>
              </w:rPr>
              <w:t xml:space="preserve">Complete on cutover day.</w:t>
            </w:r>
          </w:p>
        </w:tc>
        <w:tc>
          <w:tcPr>
            <w:tcW w:type="dxa" w:w="1200"/>
            <w:tcBorders>
              <w:top w:val="single" w:color="CCCCCC" w:sz="1"/>
              <w:left w:val="single" w:color="CCCCCC" w:sz="1"/>
              <w:bottom w:val="single" w:color="CCCCCC" w:sz="1"/>
              <w:right w:val="single" w:color="CCCCCC" w:sz="1"/>
            </w:tcBorders>
            <w:shd w:fill="FFD966" w:val="clear"/>
            <w:tcMar>
              <w:top w:type="dxa" w:w="80"/>
              <w:left w:type="dxa" w:w="80"/>
              <w:bottom w:type="dxa" w:w="80"/>
              <w:right w:type="dxa" w:w="80"/>
            </w:tcMar>
          </w:tcPr>
          <w:p>
            <w:r>
              <w:rPr>
                <w:rFonts w:ascii="Arial" w:cs="Arial" w:eastAsia="Arial" w:hAnsi="Arial"/>
                <w:color w:val="1A1A1A"/>
                <w:sz w:val="17"/>
                <w:szCs w:val="17"/>
              </w:rPr>
              <w:t xml:space="preserve">Target completion within 30–90 days.</w:t>
            </w:r>
          </w:p>
        </w:tc>
        <w:tc>
          <w:tcPr>
            <w:tcW w:type="dxa" w:w="45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100"/>
            </w:tcMar>
          </w:tcPr>
          <w:p>
            <w:r>
              <w:rPr>
                <w:rFonts w:ascii="Arial" w:cs="Arial" w:eastAsia="Arial" w:hAnsi="Arial"/>
                <w:color w:val="1A1A1A"/>
                <w:sz w:val="17"/>
                <w:szCs w:val="17"/>
              </w:rPr>
              <w:t xml:space="preserve">Recurring control — must be sustained post go-live for the lifetime of the Global Payments engagement.</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130"/>
              <w:left w:type="dxa" w:w="200"/>
              <w:bottom w:type="dxa" w:w="130"/>
              <w:right w:type="dxa" w:w="200"/>
            </w:tcMar>
          </w:tcPr>
          <w:p>
            <w:r>
              <w:rPr>
                <w:rFonts w:ascii="Arial" w:cs="Arial" w:eastAsia="Arial" w:hAnsi="Arial"/>
                <w:b/>
                <w:bCs/>
                <w:color w:val="FFFFFF"/>
                <w:sz w:val="28"/>
                <w:szCs w:val="28"/>
              </w:rPr>
              <w:t xml:space="preserve">Requirements Summary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CCCCCC" w:sz="1"/>
              <w:left w:val="single" w:color="CCCCCC" w:sz="1"/>
              <w:bottom w:val="single" w:color="CCCCCC" w:sz="1"/>
              <w:right w:val="single" w:color="CCCCCC" w:sz="1"/>
            </w:tcBorders>
            <w:shd w:fill="1F3864" w:val="clear"/>
            <w:tcMar>
              <w:top w:type="dxa" w:w="120"/>
              <w:left w:type="dxa" w:w="100"/>
              <w:bottom w:type="dxa" w:w="120"/>
              <w:right w:type="dxa" w:w="100"/>
            </w:tcMar>
          </w:tcPr>
          <w:p>
            <w:pPr>
              <w:jc w:val="center"/>
            </w:pPr>
            <w:r>
              <w:rPr>
                <w:rFonts w:ascii="Arial" w:cs="Arial" w:eastAsia="Arial" w:hAnsi="Arial"/>
                <w:b/>
                <w:bCs/>
                <w:color w:val="FFFFFF"/>
                <w:sz w:val="52"/>
                <w:szCs w:val="52"/>
              </w:rPr>
              <w:t xml:space="preserve">88</w:t>
            </w:r>
          </w:p>
          <w:p>
            <w:pPr>
              <w:jc w:val="center"/>
            </w:pPr>
            <w:r>
              <w:rPr>
                <w:rFonts w:ascii="Arial" w:cs="Arial" w:eastAsia="Arial" w:hAnsi="Arial"/>
                <w:color w:val="FFFFFF"/>
                <w:sz w:val="17"/>
                <w:szCs w:val="17"/>
              </w:rPr>
              <w:t xml:space="preserve">Total
Requirements</w:t>
            </w:r>
          </w:p>
        </w:tc>
        <w:tc>
          <w:tcPr>
            <w:tcW w:type="dxa" w:w="1870"/>
            <w:tcBorders>
              <w:top w:val="single" w:color="CCCCCC" w:sz="1"/>
              <w:left w:val="single" w:color="CCCCCC" w:sz="1"/>
              <w:bottom w:val="single" w:color="CCCCCC" w:sz="1"/>
              <w:right w:val="single" w:color="CCCCCC" w:sz="1"/>
            </w:tcBorders>
            <w:shd w:fill="C00000" w:val="clear"/>
            <w:tcMar>
              <w:top w:type="dxa" w:w="120"/>
              <w:left w:type="dxa" w:w="100"/>
              <w:bottom w:type="dxa" w:w="120"/>
              <w:right w:type="dxa" w:w="100"/>
            </w:tcMar>
          </w:tcPr>
          <w:p>
            <w:pPr>
              <w:jc w:val="center"/>
            </w:pPr>
            <w:r>
              <w:rPr>
                <w:rFonts w:ascii="Arial" w:cs="Arial" w:eastAsia="Arial" w:hAnsi="Arial"/>
                <w:b/>
                <w:bCs/>
                <w:color w:val="FFFFFF"/>
                <w:sz w:val="52"/>
                <w:szCs w:val="52"/>
              </w:rPr>
              <w:t xml:space="preserve">31</w:t>
            </w:r>
          </w:p>
          <w:p>
            <w:pPr>
              <w:jc w:val="center"/>
            </w:pPr>
            <w:r>
              <w:rPr>
                <w:rFonts w:ascii="Arial" w:cs="Arial" w:eastAsia="Arial" w:hAnsi="Arial"/>
                <w:color w:val="FFFFFF"/>
                <w:sz w:val="17"/>
                <w:szCs w:val="17"/>
              </w:rPr>
              <w:t xml:space="preserve">Critical</w:t>
            </w:r>
          </w:p>
        </w:tc>
        <w:tc>
          <w:tcPr>
            <w:tcW w:type="dxa" w:w="1870"/>
            <w:tcBorders>
              <w:top w:val="single" w:color="CCCCCC" w:sz="1"/>
              <w:left w:val="single" w:color="CCCCCC" w:sz="1"/>
              <w:bottom w:val="single" w:color="CCCCCC" w:sz="1"/>
              <w:right w:val="single" w:color="CCCCCC" w:sz="1"/>
            </w:tcBorders>
            <w:shd w:fill="ED7D31" w:val="clear"/>
            <w:tcMar>
              <w:top w:type="dxa" w:w="120"/>
              <w:left w:type="dxa" w:w="100"/>
              <w:bottom w:type="dxa" w:w="120"/>
              <w:right w:type="dxa" w:w="100"/>
            </w:tcMar>
          </w:tcPr>
          <w:p>
            <w:pPr>
              <w:jc w:val="center"/>
            </w:pPr>
            <w:r>
              <w:rPr>
                <w:rFonts w:ascii="Arial" w:cs="Arial" w:eastAsia="Arial" w:hAnsi="Arial"/>
                <w:b/>
                <w:bCs/>
                <w:color w:val="1A1A1A"/>
                <w:sz w:val="52"/>
                <w:szCs w:val="52"/>
              </w:rPr>
              <w:t xml:space="preserve">48</w:t>
            </w:r>
          </w:p>
          <w:p>
            <w:pPr>
              <w:jc w:val="center"/>
            </w:pPr>
            <w:r>
              <w:rPr>
                <w:rFonts w:ascii="Arial" w:cs="Arial" w:eastAsia="Arial" w:hAnsi="Arial"/>
                <w:color w:val="1A1A1A"/>
                <w:sz w:val="17"/>
                <w:szCs w:val="17"/>
              </w:rPr>
              <w:t xml:space="preserve">High</w:t>
            </w:r>
          </w:p>
        </w:tc>
        <w:tc>
          <w:tcPr>
            <w:tcW w:type="dxa" w:w="1870"/>
            <w:tcBorders>
              <w:top w:val="single" w:color="CCCCCC" w:sz="1"/>
              <w:left w:val="single" w:color="CCCCCC" w:sz="1"/>
              <w:bottom w:val="single" w:color="CCCCCC" w:sz="1"/>
              <w:right w:val="single" w:color="CCCCCC" w:sz="1"/>
            </w:tcBorders>
            <w:shd w:fill="FFD966" w:val="clear"/>
            <w:tcMar>
              <w:top w:type="dxa" w:w="120"/>
              <w:left w:type="dxa" w:w="100"/>
              <w:bottom w:type="dxa" w:w="120"/>
              <w:right w:type="dxa" w:w="100"/>
            </w:tcMar>
          </w:tcPr>
          <w:p>
            <w:pPr>
              <w:jc w:val="center"/>
            </w:pPr>
            <w:r>
              <w:rPr>
                <w:rFonts w:ascii="Arial" w:cs="Arial" w:eastAsia="Arial" w:hAnsi="Arial"/>
                <w:b/>
                <w:bCs/>
                <w:color w:val="1A1A1A"/>
                <w:sz w:val="52"/>
                <w:szCs w:val="52"/>
              </w:rPr>
              <w:t xml:space="preserve">9</w:t>
            </w:r>
          </w:p>
          <w:p>
            <w:pPr>
              <w:jc w:val="center"/>
            </w:pPr>
            <w:r>
              <w:rPr>
                <w:rFonts w:ascii="Arial" w:cs="Arial" w:eastAsia="Arial" w:hAnsi="Arial"/>
                <w:color w:val="1A1A1A"/>
                <w:sz w:val="17"/>
                <w:szCs w:val="17"/>
              </w:rPr>
              <w:t xml:space="preserve">Medium</w:t>
            </w:r>
          </w:p>
        </w:tc>
        <w:tc>
          <w:tcPr>
            <w:tcW w:type="dxa" w:w="1870"/>
            <w:tcBorders>
              <w:top w:val="single" w:color="CCCCCC" w:sz="1"/>
              <w:left w:val="single" w:color="CCCCCC" w:sz="1"/>
              <w:bottom w:val="single" w:color="CCCCCC" w:sz="1"/>
              <w:right w:val="single" w:color="CCCCCC" w:sz="1"/>
            </w:tcBorders>
            <w:shd w:fill="17375E" w:val="clear"/>
            <w:tcMar>
              <w:top w:type="dxa" w:w="120"/>
              <w:left w:type="dxa" w:w="100"/>
              <w:bottom w:type="dxa" w:w="120"/>
              <w:right w:type="dxa" w:w="100"/>
            </w:tcMar>
          </w:tcPr>
          <w:p>
            <w:pPr>
              <w:jc w:val="center"/>
            </w:pPr>
            <w:r>
              <w:rPr>
                <w:rFonts w:ascii="Arial" w:cs="Arial" w:eastAsia="Arial" w:hAnsi="Arial"/>
                <w:b/>
                <w:bCs/>
                <w:color w:val="FFFFFF"/>
                <w:sz w:val="52"/>
                <w:szCs w:val="52"/>
              </w:rPr>
              <w:t xml:space="preserve">60</w:t>
            </w:r>
          </w:p>
          <w:p>
            <w:pPr>
              <w:jc w:val="center"/>
            </w:pPr>
            <w:r>
              <w:rPr>
                <w:rFonts w:ascii="Arial" w:cs="Arial" w:eastAsia="Arial" w:hAnsi="Arial"/>
                <w:color w:val="FFFFFF"/>
                <w:sz w:val="17"/>
                <w:szCs w:val="17"/>
              </w:rPr>
              <w:t xml:space="preserve">Pre-Go-Live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800"/>
        <w:gridCol w:w="800"/>
        <w:gridCol w:w="800"/>
        <w:gridCol w:w="800"/>
        <w:gridCol w:w="2320"/>
      </w:tblGrid>
      <w:tr>
        <w:trPr>
          <w:tblHeader/>
        </w:trPr>
        <w:tc>
          <w:tcPr>
            <w:tcW w:type="dxa" w:w="64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w:t>
            </w:r>
          </w:p>
        </w:tc>
        <w:tc>
          <w:tcPr>
            <w:tcW w:type="dxa" w:w="320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Domain</w:t>
            </w:r>
          </w:p>
        </w:tc>
        <w:tc>
          <w:tcPr>
            <w:tcW w:type="dxa" w:w="80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Total</w:t>
            </w:r>
          </w:p>
        </w:tc>
        <w:tc>
          <w:tcPr>
            <w:tcW w:type="dxa" w:w="80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Critical</w:t>
            </w:r>
          </w:p>
        </w:tc>
        <w:tc>
          <w:tcPr>
            <w:tcW w:type="dxa" w:w="80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c>
          <w:tcPr>
            <w:tcW w:type="dxa" w:w="80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Pre-Live</w:t>
            </w:r>
          </w:p>
        </w:tc>
        <w:tc>
          <w:tcPr>
            <w:tcW w:type="dxa" w:w="2320"/>
            <w:tcBorders>
              <w:top w:val="single" w:color="2E75B6" w:sz="1"/>
              <w:left w:val="single" w:color="2E75B6" w:sz="1"/>
              <w:bottom w:val="single" w:color="2E75B6" w:sz="1"/>
              <w:right w:val="single" w:color="2E75B6" w:sz="1"/>
            </w:tcBorders>
            <w:shd w:fill="2E75B6" w:val="clear"/>
            <w:tcMar>
              <w:top w:type="dxa" w:w="80"/>
              <w:left w:type="dxa" w:w="80"/>
              <w:bottom w:type="dxa" w:w="80"/>
              <w:right w:type="dxa" w:w="80"/>
            </w:tcMar>
          </w:tcPr>
          <w:p>
            <w:pPr>
              <w:jc w:val="center"/>
            </w:pPr>
            <w:r>
              <w:rPr>
                <w:rFonts w:ascii="Arial" w:cs="Arial" w:eastAsia="Arial" w:hAnsi="Arial"/>
                <w:b/>
                <w:bCs/>
                <w:color w:val="FFFFFF"/>
                <w:sz w:val="17"/>
                <w:szCs w:val="17"/>
              </w:rPr>
              <w:t xml:space="preserve">Scope / Focus</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1F3864"/>
                <w:sz w:val="17"/>
                <w:szCs w:val="17"/>
              </w:rPr>
              <w:t xml:space="preserve">01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F3864"/>
                <w:sz w:val="17"/>
                <w:szCs w:val="17"/>
              </w:rPr>
              <w:t xml:space="preserve">Network Security &amp; Segmentation</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1A1A1A"/>
                <w:sz w:val="17"/>
                <w:szCs w:val="17"/>
              </w:rPr>
              <w:t xml:space="preserve">10</w:t>
            </w:r>
          </w:p>
        </w:tc>
        <w:tc>
          <w:tcPr>
            <w:tcW w:type="dxa" w:w="8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pPr>
              <w:jc w:val="center"/>
            </w:pPr>
            <w:r>
              <w:rPr>
                <w:rFonts w:ascii="Arial" w:cs="Arial" w:eastAsia="Arial" w:hAnsi="Arial"/>
                <w:b/>
                <w:bCs/>
                <w:color w:val="C00000"/>
                <w:sz w:val="17"/>
                <w:szCs w:val="17"/>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7F3000"/>
                <w:sz w:val="17"/>
                <w:szCs w:val="17"/>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1A1A1A"/>
                <w:sz w:val="17"/>
                <w:szCs w:val="17"/>
              </w:rPr>
              <w:t xml:space="preserve">8</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i/>
                <w:iCs/>
                <w:color w:val="595959"/>
                <w:sz w:val="16"/>
                <w:szCs w:val="16"/>
              </w:rPr>
              <w:t xml:space="preserve">Firewall rules, VLAN isolation, TLS enforcement</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1F3864"/>
                <w:sz w:val="17"/>
                <w:szCs w:val="17"/>
              </w:rPr>
              <w:t xml:space="preserve">02</w:t>
            </w:r>
          </w:p>
        </w:tc>
        <w:tc>
          <w:tcPr>
            <w:tcW w:type="dxa" w:w="32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F3864"/>
                <w:sz w:val="17"/>
                <w:szCs w:val="17"/>
              </w:rPr>
              <w:t xml:space="preserve">Endpoint &amp; POS Terminal Security</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color w:val="1A1A1A"/>
                <w:sz w:val="17"/>
                <w:szCs w:val="17"/>
              </w:rPr>
              <w:t xml:space="preserve">9</w:t>
            </w:r>
          </w:p>
        </w:tc>
        <w:tc>
          <w:tcPr>
            <w:tcW w:type="dxa" w:w="8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pPr>
              <w:jc w:val="center"/>
            </w:pPr>
            <w:r>
              <w:rPr>
                <w:rFonts w:ascii="Arial" w:cs="Arial" w:eastAsia="Arial" w:hAnsi="Arial"/>
                <w:b/>
                <w:bCs/>
                <w:color w:val="C00000"/>
                <w:sz w:val="17"/>
                <w:szCs w:val="17"/>
              </w:rPr>
              <w:t xml:space="preserve">4</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color w:val="7F3000"/>
                <w:sz w:val="17"/>
                <w:szCs w:val="17"/>
              </w:rPr>
              <w:t xml:space="preserve">5</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color w:val="1A1A1A"/>
                <w:sz w:val="17"/>
                <w:szCs w:val="17"/>
              </w:rPr>
              <w:t xml:space="preserve">7</w:t>
            </w:r>
          </w:p>
        </w:tc>
        <w:tc>
          <w:tcPr>
            <w:tcW w:type="dxa" w:w="232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i/>
                <w:iCs/>
                <w:color w:val="595959"/>
                <w:sz w:val="16"/>
                <w:szCs w:val="16"/>
              </w:rPr>
              <w:t xml:space="preserve">Terminal hardening, P2PE, tamper inspection</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1F3864"/>
                <w:sz w:val="17"/>
                <w:szCs w:val="17"/>
              </w:rPr>
              <w:t xml:space="preserve">03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F3864"/>
                <w:sz w:val="17"/>
                <w:szCs w:val="17"/>
              </w:rPr>
              <w:t xml:space="preserve">Identity &amp; Access Management</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1A1A1A"/>
                <w:sz w:val="17"/>
                <w:szCs w:val="17"/>
              </w:rPr>
              <w:t xml:space="preserve">10</w:t>
            </w:r>
          </w:p>
        </w:tc>
        <w:tc>
          <w:tcPr>
            <w:tcW w:type="dxa" w:w="8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pPr>
              <w:jc w:val="center"/>
            </w:pPr>
            <w:r>
              <w:rPr>
                <w:rFonts w:ascii="Arial" w:cs="Arial" w:eastAsia="Arial" w:hAnsi="Arial"/>
                <w:b/>
                <w:bCs/>
                <w:color w:val="C00000"/>
                <w:sz w:val="17"/>
                <w:szCs w:val="17"/>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7F3000"/>
                <w:sz w:val="17"/>
                <w:szCs w:val="17"/>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1A1A1A"/>
                <w:sz w:val="17"/>
                <w:szCs w:val="17"/>
              </w:rPr>
              <w:t xml:space="preserve">5</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i/>
                <w:iCs/>
                <w:color w:val="595959"/>
                <w:sz w:val="16"/>
                <w:szCs w:val="16"/>
              </w:rPr>
              <w:t xml:space="preserve">MFA, PAM, secrets management, JML</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1F3864"/>
                <w:sz w:val="17"/>
                <w:szCs w:val="17"/>
              </w:rPr>
              <w:t xml:space="preserve">04</w:t>
            </w:r>
          </w:p>
        </w:tc>
        <w:tc>
          <w:tcPr>
            <w:tcW w:type="dxa" w:w="32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F3864"/>
                <w:sz w:val="17"/>
                <w:szCs w:val="17"/>
              </w:rPr>
              <w:t xml:space="preserve">Application &amp; Integration Security</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color w:val="1A1A1A"/>
                <w:sz w:val="17"/>
                <w:szCs w:val="17"/>
              </w:rPr>
              <w:t xml:space="preserve">10</w:t>
            </w:r>
          </w:p>
        </w:tc>
        <w:tc>
          <w:tcPr>
            <w:tcW w:type="dxa" w:w="8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pPr>
              <w:jc w:val="center"/>
            </w:pPr>
            <w:r>
              <w:rPr>
                <w:rFonts w:ascii="Arial" w:cs="Arial" w:eastAsia="Arial" w:hAnsi="Arial"/>
                <w:b/>
                <w:bCs/>
                <w:color w:val="C00000"/>
                <w:sz w:val="17"/>
                <w:szCs w:val="17"/>
              </w:rPr>
              <w:t xml:space="preserve">4</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color w:val="7F3000"/>
                <w:sz w:val="17"/>
                <w:szCs w:val="17"/>
              </w:rPr>
              <w:t xml:space="preserve">6</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color w:val="1A1A1A"/>
                <w:sz w:val="17"/>
                <w:szCs w:val="17"/>
              </w:rPr>
              <w:t xml:space="preserve">8</w:t>
            </w:r>
          </w:p>
        </w:tc>
        <w:tc>
          <w:tcPr>
            <w:tcW w:type="dxa" w:w="232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i/>
                <w:iCs/>
                <w:color w:val="595959"/>
                <w:sz w:val="16"/>
                <w:szCs w:val="16"/>
              </w:rPr>
              <w:t xml:space="preserve">API security, OWASP, SDK hygiene, pen test</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1F3864"/>
                <w:sz w:val="17"/>
                <w:szCs w:val="17"/>
              </w:rPr>
              <w:t xml:space="preserve">05</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F3864"/>
                <w:sz w:val="17"/>
                <w:szCs w:val="17"/>
              </w:rPr>
              <w:t xml:space="preserve">Data Protection</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1A1A1A"/>
                <w:sz w:val="17"/>
                <w:szCs w:val="17"/>
              </w:rPr>
              <w:t xml:space="preserve">10</w:t>
            </w:r>
          </w:p>
        </w:tc>
        <w:tc>
          <w:tcPr>
            <w:tcW w:type="dxa" w:w="8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pPr>
              <w:jc w:val="center"/>
            </w:pPr>
            <w:r>
              <w:rPr>
                <w:rFonts w:ascii="Arial" w:cs="Arial" w:eastAsia="Arial" w:hAnsi="Arial"/>
                <w:b/>
                <w:bCs/>
                <w:color w:val="C00000"/>
                <w:sz w:val="17"/>
                <w:szCs w:val="17"/>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7F3000"/>
                <w:sz w:val="17"/>
                <w:szCs w:val="17"/>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1A1A1A"/>
                <w:sz w:val="17"/>
                <w:szCs w:val="17"/>
              </w:rPr>
              <w:t xml:space="preserve">8</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i/>
                <w:iCs/>
                <w:color w:val="595959"/>
                <w:sz w:val="16"/>
                <w:szCs w:val="16"/>
              </w:rPr>
              <w:t xml:space="preserve">Token-only storage, encryption, log sanitisation</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1F3864"/>
                <w:sz w:val="17"/>
                <w:szCs w:val="17"/>
              </w:rPr>
              <w:t xml:space="preserve">06</w:t>
            </w:r>
          </w:p>
        </w:tc>
        <w:tc>
          <w:tcPr>
            <w:tcW w:type="dxa" w:w="32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F3864"/>
                <w:sz w:val="17"/>
                <w:szCs w:val="17"/>
              </w:rPr>
              <w:t xml:space="preserve">Logging, Monitoring &amp; Incident Response</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color w:val="1A1A1A"/>
                <w:sz w:val="17"/>
                <w:szCs w:val="17"/>
              </w:rPr>
              <w:t xml:space="preserve">10</w:t>
            </w:r>
          </w:p>
        </w:tc>
        <w:tc>
          <w:tcPr>
            <w:tcW w:type="dxa" w:w="8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pPr>
              <w:jc w:val="center"/>
            </w:pPr>
            <w:r>
              <w:rPr>
                <w:rFonts w:ascii="Arial" w:cs="Arial" w:eastAsia="Arial" w:hAnsi="Arial"/>
                <w:b/>
                <w:bCs/>
                <w:color w:val="C00000"/>
                <w:sz w:val="17"/>
                <w:szCs w:val="17"/>
              </w:rPr>
              <w:t xml:space="preserve">4</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color w:val="7F3000"/>
                <w:sz w:val="17"/>
                <w:szCs w:val="17"/>
              </w:rPr>
              <w:t xml:space="preserve">6</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color w:val="1A1A1A"/>
                <w:sz w:val="17"/>
                <w:szCs w:val="17"/>
              </w:rPr>
              <w:t xml:space="preserve">6</w:t>
            </w:r>
          </w:p>
        </w:tc>
        <w:tc>
          <w:tcPr>
            <w:tcW w:type="dxa" w:w="232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i/>
                <w:iCs/>
                <w:color w:val="595959"/>
                <w:sz w:val="16"/>
                <w:szCs w:val="16"/>
              </w:rPr>
              <w:t xml:space="preserve">SIEM, alerting, IR plan, log retention</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1F3864"/>
                <w:sz w:val="17"/>
                <w:szCs w:val="17"/>
              </w:rPr>
              <w:t xml:space="preserve">07</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F3864"/>
                <w:sz w:val="17"/>
                <w:szCs w:val="17"/>
              </w:rPr>
              <w:t xml:space="preserve">Physical Security</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1A1A1A"/>
                <w:sz w:val="17"/>
                <w:szCs w:val="17"/>
              </w:rPr>
              <w:t xml:space="preserve">5</w:t>
            </w:r>
          </w:p>
        </w:tc>
        <w:tc>
          <w:tcPr>
            <w:tcW w:type="dxa" w:w="8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pPr>
              <w:jc w:val="center"/>
            </w:pPr>
            <w:r>
              <w:rPr>
                <w:rFonts w:ascii="Arial" w:cs="Arial" w:eastAsia="Arial" w:hAnsi="Arial"/>
                <w:b/>
                <w:bCs/>
                <w:color w:val="C00000"/>
                <w:sz w:val="17"/>
                <w:szCs w:val="17"/>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7F3000"/>
                <w:sz w:val="17"/>
                <w:szCs w:val="17"/>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1A1A1A"/>
                <w:sz w:val="17"/>
                <w:szCs w:val="17"/>
              </w:rPr>
              <w:t xml:space="preserve">5</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i/>
                <w:iCs/>
                <w:color w:val="595959"/>
                <w:sz w:val="16"/>
                <w:szCs w:val="16"/>
              </w:rPr>
              <w:t xml:space="preserve">Terminal physical security, CCTV, media disposal</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1F3864"/>
                <w:sz w:val="17"/>
                <w:szCs w:val="17"/>
              </w:rPr>
              <w:t xml:space="preserve">08</w:t>
            </w:r>
          </w:p>
        </w:tc>
        <w:tc>
          <w:tcPr>
            <w:tcW w:type="dxa" w:w="32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F3864"/>
                <w:sz w:val="17"/>
                <w:szCs w:val="17"/>
              </w:rPr>
              <w:t xml:space="preserve">Vulnerability Management &amp; Patching</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color w:val="1A1A1A"/>
                <w:sz w:val="17"/>
                <w:szCs w:val="17"/>
              </w:rPr>
              <w:t xml:space="preserve">6</w:t>
            </w:r>
          </w:p>
        </w:tc>
        <w:tc>
          <w:tcPr>
            <w:tcW w:type="dxa" w:w="8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pPr>
              <w:jc w:val="center"/>
            </w:pPr>
            <w:r>
              <w:rPr>
                <w:rFonts w:ascii="Arial" w:cs="Arial" w:eastAsia="Arial" w:hAnsi="Arial"/>
                <w:b/>
                <w:bCs/>
                <w:color w:val="C00000"/>
                <w:sz w:val="17"/>
                <w:szCs w:val="17"/>
              </w:rPr>
              <w:t xml:space="preserve">3</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color w:val="7F3000"/>
                <w:sz w:val="17"/>
                <w:szCs w:val="17"/>
              </w:rPr>
              <w:t xml:space="preserve">3</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color w:val="1A1A1A"/>
                <w:sz w:val="17"/>
                <w:szCs w:val="17"/>
              </w:rPr>
              <w:t xml:space="preserve">3</w:t>
            </w:r>
          </w:p>
        </w:tc>
        <w:tc>
          <w:tcPr>
            <w:tcW w:type="dxa" w:w="232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i/>
                <w:iCs/>
                <w:color w:val="595959"/>
                <w:sz w:val="16"/>
                <w:szCs w:val="16"/>
              </w:rPr>
              <w:t xml:space="preserve">Scanning, patching, CIS benchmarking</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1F3864"/>
                <w:sz w:val="17"/>
                <w:szCs w:val="17"/>
              </w:rPr>
              <w:t xml:space="preserve">09</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F3864"/>
                <w:sz w:val="17"/>
                <w:szCs w:val="17"/>
              </w:rPr>
              <w:t xml:space="preserve">Privacy &amp; Regulatory Compliance</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1A1A1A"/>
                <w:sz w:val="17"/>
                <w:szCs w:val="17"/>
              </w:rPr>
              <w:t xml:space="preserve">9</w:t>
            </w:r>
          </w:p>
        </w:tc>
        <w:tc>
          <w:tcPr>
            <w:tcW w:type="dxa" w:w="800"/>
            <w:tcBorders>
              <w:top w:val="single" w:color="CCCCCC" w:sz="1"/>
              <w:left w:val="single" w:color="CCCCCC" w:sz="1"/>
              <w:bottom w:val="single" w:color="CCCCCC" w:sz="1"/>
              <w:right w:val="single" w:color="CCCCCC" w:sz="1"/>
            </w:tcBorders>
            <w:shd w:fill="FCE4D6" w:val="clear"/>
            <w:tcMar>
              <w:top w:type="dxa" w:w="70"/>
              <w:left w:type="dxa" w:w="80"/>
              <w:bottom w:type="dxa" w:w="70"/>
              <w:right w:type="dxa" w:w="80"/>
            </w:tcMar>
          </w:tcPr>
          <w:p>
            <w:pPr>
              <w:jc w:val="center"/>
            </w:pPr>
            <w:r>
              <w:rPr>
                <w:rFonts w:ascii="Arial" w:cs="Arial" w:eastAsia="Arial" w:hAnsi="Arial"/>
                <w:b/>
                <w:bCs/>
                <w:color w:val="C00000"/>
                <w:sz w:val="17"/>
                <w:szCs w:val="17"/>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7F3000"/>
                <w:sz w:val="17"/>
                <w:szCs w:val="17"/>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1A1A1A"/>
                <w:sz w:val="17"/>
                <w:szCs w:val="17"/>
              </w:rPr>
              <w:t xml:space="preserve">7</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i/>
                <w:iCs/>
                <w:color w:val="595959"/>
                <w:sz w:val="16"/>
                <w:szCs w:val="16"/>
              </w:rPr>
              <w:t xml:space="preserve">Law 25 PIA/TIA, DPA, privacy notices</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1F3864"/>
                <w:sz w:val="17"/>
                <w:szCs w:val="17"/>
              </w:rPr>
              <w:t xml:space="preserve">10</w:t>
            </w:r>
          </w:p>
        </w:tc>
        <w:tc>
          <w:tcPr>
            <w:tcW w:type="dxa" w:w="32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F3864"/>
                <w:sz w:val="17"/>
                <w:szCs w:val="17"/>
              </w:rPr>
              <w:t xml:space="preserve">Third-Party &amp; Vendor Risk Management</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color w:val="1A1A1A"/>
                <w:sz w:val="17"/>
                <w:szCs w:val="17"/>
              </w:rPr>
              <w:t xml:space="preserve">5</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b w:val="false"/>
                <w:bCs w:val="false"/>
                <w:color w:val="595959"/>
                <w:sz w:val="17"/>
                <w:szCs w:val="17"/>
              </w:rPr>
              <w:t xml:space="preserve">—</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color w:val="7F3000"/>
                <w:sz w:val="17"/>
                <w:szCs w:val="17"/>
              </w:rPr>
              <w:t xml:space="preserve">3</w:t>
            </w:r>
          </w:p>
        </w:tc>
        <w:tc>
          <w:tcPr>
            <w:tcW w:type="dxa" w:w="80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tcPr>
          <w:p>
            <w:pPr>
              <w:jc w:val="center"/>
            </w:pPr>
            <w:r>
              <w:rPr>
                <w:rFonts w:ascii="Arial" w:cs="Arial" w:eastAsia="Arial" w:hAnsi="Arial"/>
                <w:color w:val="1A1A1A"/>
                <w:sz w:val="17"/>
                <w:szCs w:val="17"/>
              </w:rPr>
              <w:t xml:space="preserve">0</w:t>
            </w:r>
          </w:p>
        </w:tc>
        <w:tc>
          <w:tcPr>
            <w:tcW w:type="dxa" w:w="232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i/>
                <w:iCs/>
                <w:color w:val="595959"/>
                <w:sz w:val="16"/>
                <w:szCs w:val="16"/>
              </w:rPr>
              <w:t xml:space="preserve">Annual vendor risk, AoC review, subprocessors</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tcPr>
          <w:p>
            <w:pPr>
              <w:jc w:val="center"/>
            </w:pPr>
            <w:r>
              <w:rPr>
                <w:rFonts w:ascii="Arial" w:cs="Arial" w:eastAsia="Arial" w:hAnsi="Arial"/>
                <w:b/>
                <w:bCs/>
                <w:color w:val="1F3864"/>
                <w:sz w:val="17"/>
                <w:szCs w:val="17"/>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F3864"/>
                <w:sz w:val="17"/>
                <w:szCs w:val="17"/>
              </w:rPr>
              <w:t xml:space="preserve">Staff Awareness &amp; Training</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1A1A1A"/>
                <w:sz w:val="17"/>
                <w:szCs w:val="17"/>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b w:val="false"/>
                <w:bCs w:val="false"/>
                <w:color w:val="595959"/>
                <w:sz w:val="17"/>
                <w:szCs w:val="17"/>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7F3000"/>
                <w:sz w:val="17"/>
                <w:szCs w:val="17"/>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pPr>
              <w:jc w:val="center"/>
            </w:pPr>
            <w:r>
              <w:rPr>
                <w:rFonts w:ascii="Arial" w:cs="Arial" w:eastAsia="Arial" w:hAnsi="Arial"/>
                <w:color w:val="1A1A1A"/>
                <w:sz w:val="17"/>
                <w:szCs w:val="17"/>
              </w:rPr>
              <w:t xml:space="preserve">3</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i/>
                <w:iCs/>
                <w:color w:val="595959"/>
                <w:sz w:val="16"/>
                <w:szCs w:val="16"/>
              </w:rPr>
              <w:t xml:space="preserve">PCI training, phishing awareness, IR reporting</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375E" w:sz="1"/>
              <w:left w:val="single" w:color="17375E" w:sz="1"/>
              <w:bottom w:val="single" w:color="2E75B6" w:sz="6"/>
              <w:right w:val="single" w:color="17375E" w:sz="1"/>
            </w:tcBorders>
            <w:shd w:fill="17375E" w:val="clear"/>
            <w:tcMar>
              <w:top w:type="dxa" w:w="100"/>
              <w:left w:type="dxa" w:w="180"/>
              <w:bottom w:type="dxa" w:w="100"/>
              <w:right w:type="dxa" w:w="180"/>
            </w:tcMar>
          </w:tcPr>
          <w:p>
            <w:r>
              <w:rPr>
                <w:rFonts w:ascii="Arial" w:cs="Arial" w:eastAsia="Arial" w:hAnsi="Arial"/>
                <w:b/>
                <w:bCs/>
                <w:color w:val="9DC3E6"/>
                <w:sz w:val="22"/>
                <w:szCs w:val="22"/>
              </w:rPr>
              <w:t xml:space="preserve">DOMAIN 01  </w:t>
            </w:r>
            <w:r>
              <w:rPr>
                <w:rFonts w:ascii="Arial" w:cs="Arial" w:eastAsia="Arial" w:hAnsi="Arial"/>
                <w:b/>
                <w:bCs/>
                <w:color w:val="FFFFFF"/>
                <w:sz w:val="22"/>
                <w:szCs w:val="22"/>
              </w:rPr>
              <w:t xml:space="preserve">—  Network Security &amp; Segmentation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900"/>
        <w:gridCol w:w="3500"/>
        <w:gridCol w:w="800"/>
        <w:gridCol w:w="1000"/>
        <w:gridCol w:w="1520"/>
      </w:tblGrid>
      <w:tr>
        <w:trPr>
          <w:tblHeader/>
        </w:trPr>
        <w:tc>
          <w:tcPr>
            <w:tcW w:type="dxa" w:w="64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REQ ID</w:t>
            </w:r>
          </w:p>
        </w:tc>
        <w:tc>
          <w:tcPr>
            <w:tcW w:type="dxa" w:w="19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Security Requirement</w:t>
            </w:r>
          </w:p>
        </w:tc>
        <w:tc>
          <w:tcPr>
            <w:tcW w:type="dxa" w:w="35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Control / Implementation Detail</w:t>
            </w:r>
          </w:p>
        </w:tc>
        <w:tc>
          <w:tcPr>
            <w:tcW w:type="dxa" w:w="8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Phase</w:t>
            </w:r>
          </w:p>
        </w:tc>
        <w:tc>
          <w:tcPr>
            <w:tcW w:type="dxa" w:w="152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Standard Ref.</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NS-01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POS VLAN Segmentation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Isolate all POS terminals on a dedicated VLAN. No cross-traffic between POS VLAN and general store LAN, guest Wi-Fi, or corporate network. Firewall rules must enforce deny-all default with explicit allow for Global Payments API destination IPs only.</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4.0 Req 1.3</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NS-02</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Outbound Firewall Allowlist to Global Payments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Create explicit outbound firewall rules permitting HTTPS (TCP 443) traffic only to documented Global Payments API IP ranges. All other outbound destinations from the POS VLAN must be denied. Maintain the allowlist in configuration management.</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1.3.2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NS-03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Inbound Firewall Rules for Webhook Callbacks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Restrict inbound TCP 443 connections to the Sobeys webhook/callback endpoint to Global Payments' published source IP ranges only. All other inbound connections to the callback endpoint must be denied.</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1.3.1</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NS-04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Network Intrusion Detection (NIDS)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Deploy NIDS sensors at the POS VLAN perimeter and at the internet egress point. Configure rules to alert on anomalous payment data flows, unexpected outbound destinations, and port scans originating from the POS VLAN.</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11.5</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NS-05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Disable TLS 1.0 and 1.1 at All Boundaries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Configure all network termination points (load balancers, reverse proxies, firewalls with TLS inspection) to reject TLS 1.0 and TLS 1.1 connections. Enforce TLS 1.2 minimum; prefer TLS 1.3. Validate with SSL scan tools (e.g., testssl.sh) before go-live.</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4.2.1</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NS-06</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Prohibit Split-Tunnel VPN on POS Network</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Ensure no split-tunnel VPN configurations exist on any device in the POS VLAN. All traffic from POS network must route through Sobeys' monitored network path — no direct internet breakout bypassing security controls.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1.3</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NS-07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DMZ for Webhook Receiver Endpoint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Host the Global Payments webhook/callback receiver in a dedicated DMZ zone, separate from internal application servers. DMZ must only permit inbound traffic from Global Payments source IPs and only forward validated, signed payloads to internal systems.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1.3</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NS-08</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SFTP Server Hardening for Settlement Files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Deploy a hardened SFTP server in the DMZ for settlement batch file exchange. Configure key-based authentication only (disable password auth). Restrict login to Global Payments' registered public key. Log all connection attempts.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4.2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NS-09</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Quarterly Firewall Rule Review</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Conduct formal quarterly review of all firewall rules affecting the POS VLAN and payment processing paths. Remove stale or overly permissive rules. Document findings and changes in the change management system.</w:t>
            </w:r>
          </w:p>
        </w:tc>
        <w:tc>
          <w:tcPr>
            <w:tcW w:type="dxa" w:w="800"/>
            <w:tcBorders>
              <w:top w:val="single" w:color="CCCCCC" w:sz="1"/>
              <w:left w:val="single" w:color="CCCCCC" w:sz="1"/>
              <w:bottom w:val="single" w:color="CCCCCC" w:sz="1"/>
              <w:right w:val="single" w:color="CCCCCC" w:sz="1"/>
            </w:tcBorders>
            <w:shd w:fill="FFD966"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Medium</w:t>
            </w:r>
          </w:p>
        </w:tc>
        <w:tc>
          <w:tcPr>
            <w:tcW w:type="dxa" w:w="1000"/>
            <w:tcBorders>
              <w:top w:val="single" w:color="CCCCCC" w:sz="1"/>
              <w:left w:val="single" w:color="CCCCCC" w:sz="1"/>
              <w:bottom w:val="single" w:color="CCCCCC" w:sz="1"/>
              <w:right w:val="single" w:color="CCCCCC" w:sz="1"/>
            </w:tcBorders>
            <w:shd w:fill="37562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Ongoing</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1.2.2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NS-10</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DDoS Mitigation for Sobeys-Exposed Endpoints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Ensure Sobeys' internet-facing webhook and API endpoints are protected by volumetric and application-layer DDoS mitigation (e.g., Cloudflare, Azure Front Door, or equivalent). Rate-limit inbound requests from any single source IP.</w:t>
            </w:r>
          </w:p>
        </w:tc>
        <w:tc>
          <w:tcPr>
            <w:tcW w:type="dxa" w:w="800"/>
            <w:tcBorders>
              <w:top w:val="single" w:color="CCCCCC" w:sz="1"/>
              <w:left w:val="single" w:color="CCCCCC" w:sz="1"/>
              <w:bottom w:val="single" w:color="CCCCCC" w:sz="1"/>
              <w:right w:val="single" w:color="CCCCCC" w:sz="1"/>
            </w:tcBorders>
            <w:shd w:fill="FFD966"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Medium</w:t>
            </w:r>
          </w:p>
        </w:tc>
        <w:tc>
          <w:tcPr>
            <w:tcW w:type="dxa" w:w="10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At 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NIST CSF PR.DS-5</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375E" w:sz="1"/>
              <w:left w:val="single" w:color="17375E" w:sz="1"/>
              <w:bottom w:val="single" w:color="2E75B6" w:sz="6"/>
              <w:right w:val="single" w:color="17375E" w:sz="1"/>
            </w:tcBorders>
            <w:shd w:fill="17375E" w:val="clear"/>
            <w:tcMar>
              <w:top w:type="dxa" w:w="100"/>
              <w:left w:type="dxa" w:w="180"/>
              <w:bottom w:type="dxa" w:w="100"/>
              <w:right w:type="dxa" w:w="180"/>
            </w:tcMar>
          </w:tcPr>
          <w:p>
            <w:r>
              <w:rPr>
                <w:rFonts w:ascii="Arial" w:cs="Arial" w:eastAsia="Arial" w:hAnsi="Arial"/>
                <w:b/>
                <w:bCs/>
                <w:color w:val="9DC3E6"/>
                <w:sz w:val="22"/>
                <w:szCs w:val="22"/>
              </w:rPr>
              <w:t xml:space="preserve">DOMAIN 02  </w:t>
            </w:r>
            <w:r>
              <w:rPr>
                <w:rFonts w:ascii="Arial" w:cs="Arial" w:eastAsia="Arial" w:hAnsi="Arial"/>
                <w:b/>
                <w:bCs/>
                <w:color w:val="FFFFFF"/>
                <w:sz w:val="22"/>
                <w:szCs w:val="22"/>
              </w:rPr>
              <w:t xml:space="preserve">—  Endpoint &amp; POS Terminal Security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900"/>
        <w:gridCol w:w="3500"/>
        <w:gridCol w:w="800"/>
        <w:gridCol w:w="1000"/>
        <w:gridCol w:w="1520"/>
      </w:tblGrid>
      <w:tr>
        <w:trPr>
          <w:tblHeader/>
        </w:trPr>
        <w:tc>
          <w:tcPr>
            <w:tcW w:type="dxa" w:w="64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REQ ID</w:t>
            </w:r>
          </w:p>
        </w:tc>
        <w:tc>
          <w:tcPr>
            <w:tcW w:type="dxa" w:w="19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Security Requirement</w:t>
            </w:r>
          </w:p>
        </w:tc>
        <w:tc>
          <w:tcPr>
            <w:tcW w:type="dxa" w:w="35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Control / Implementation Detail</w:t>
            </w:r>
          </w:p>
        </w:tc>
        <w:tc>
          <w:tcPr>
            <w:tcW w:type="dxa" w:w="8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Phase</w:t>
            </w:r>
          </w:p>
        </w:tc>
        <w:tc>
          <w:tcPr>
            <w:tcW w:type="dxa" w:w="152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Standard Ref.</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EP-01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P2PE-Certified Terminal Deployment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Deploy only PCI SSC-listed P2PE validated payment terminals. Cross-reference each terminal model number against the PCI SSC P2PE Solutions List before procurement. Retain purchase records and device serial numbers in an asset register.</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P2PE Std v3.0</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EP-02</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Terminal Tamper Inspection Programme</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Implement a documented POS terminal tamper inspection process. Train store personnel to inspect terminal screens, card-entry slots, PIN pads, and cable connections at shift start. Document inspection on a daily log. Report anomalies immediately to Security Operations.</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9.9</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EP-03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Terminal Asset Register and Serial Number Tracking</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Maintain a complete asset register of all POS terminals including serial number, terminal ID, store location, installation date, and assigned Global Payments terminal ID. Audit register against physical inventory quarterly.</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9.9.1</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EP-04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POS Firmware Patch Management</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Establish a firmware patch management process for all POS terminals. Apply critical security patches within 30 days of release; apply all other patches within 90 days. Track patch status in the asset register. Coordinate with Global Payments for patches that affect the payment application.</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At 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6.3.3</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EP-05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Anti-Malware on Back-Office POS Systems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Deploy anti-malware with real-time scanning on all back-office servers, management workstations, and any system that connects to the POS VLAN. Ensure anti-malware signatures are updated at least daily. Alert on any detection in the POS environment.</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5.2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EP-06</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Disable Unnecessary Services on POS Systems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Harden all POS terminal management systems by disabling unnecessary services, open ports, and protocols. Apply CIS Benchmark for the relevant OS. Remove or disable default accounts. Change all default passwords before deployment.</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2.2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EP-07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Terminal Remote Management Security</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If POS terminals are managed remotely (e.g., via a terminal management system), ensure remote management traffic is encrypted, MFA-protected, and restricted to the terminal management VLAN. Log all remote management sessions.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8.6</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EP-08</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Card Data Discovery Scan</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Run a card data discovery tool (e.g., Spirion, Ground Labs Card Recon) across all Sobeys systems — POS, back-office, file shares, databases — before go-live and quarterly thereafter. Remediate any discovered cleartext PAN immediately.</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12.3.2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EP-09</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Secure Terminal Decommissioning</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Define and enforce a terminal decommission SOP: factory reset, cryptographic wipe, tamper void the device, return to Global Payments or physically destroy. Obtain destruction certificate. Remove from asset register. Confirm no residual data via post-wipe scan.</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37562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Ongoing</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9.4.6 / NIST 800-88</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375E" w:sz="1"/>
              <w:left w:val="single" w:color="17375E" w:sz="1"/>
              <w:bottom w:val="single" w:color="2E75B6" w:sz="6"/>
              <w:right w:val="single" w:color="17375E" w:sz="1"/>
            </w:tcBorders>
            <w:shd w:fill="17375E" w:val="clear"/>
            <w:tcMar>
              <w:top w:type="dxa" w:w="100"/>
              <w:left w:type="dxa" w:w="180"/>
              <w:bottom w:type="dxa" w:w="100"/>
              <w:right w:type="dxa" w:w="180"/>
            </w:tcMar>
          </w:tcPr>
          <w:p>
            <w:r>
              <w:rPr>
                <w:rFonts w:ascii="Arial" w:cs="Arial" w:eastAsia="Arial" w:hAnsi="Arial"/>
                <w:b/>
                <w:bCs/>
                <w:color w:val="9DC3E6"/>
                <w:sz w:val="22"/>
                <w:szCs w:val="22"/>
              </w:rPr>
              <w:t xml:space="preserve">DOMAIN 03  </w:t>
            </w:r>
            <w:r>
              <w:rPr>
                <w:rFonts w:ascii="Arial" w:cs="Arial" w:eastAsia="Arial" w:hAnsi="Arial"/>
                <w:b/>
                <w:bCs/>
                <w:color w:val="FFFFFF"/>
                <w:sz w:val="22"/>
                <w:szCs w:val="22"/>
              </w:rPr>
              <w:t xml:space="preserve">—  Identity &amp; Access Management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900"/>
        <w:gridCol w:w="3500"/>
        <w:gridCol w:w="800"/>
        <w:gridCol w:w="1000"/>
        <w:gridCol w:w="1520"/>
      </w:tblGrid>
      <w:tr>
        <w:trPr>
          <w:tblHeader/>
        </w:trPr>
        <w:tc>
          <w:tcPr>
            <w:tcW w:type="dxa" w:w="64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REQ ID</w:t>
            </w:r>
          </w:p>
        </w:tc>
        <w:tc>
          <w:tcPr>
            <w:tcW w:type="dxa" w:w="19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Security Requirement</w:t>
            </w:r>
          </w:p>
        </w:tc>
        <w:tc>
          <w:tcPr>
            <w:tcW w:type="dxa" w:w="35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Control / Implementation Detail</w:t>
            </w:r>
          </w:p>
        </w:tc>
        <w:tc>
          <w:tcPr>
            <w:tcW w:type="dxa" w:w="8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Phase</w:t>
            </w:r>
          </w:p>
        </w:tc>
        <w:tc>
          <w:tcPr>
            <w:tcW w:type="dxa" w:w="152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Standard Ref.</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IAM-01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Mandatory MFA for Global Payments Portal</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Enforce multi-factor authentication (TOTP, FIDO2, or push notification) for all Sobeys user accounts on the Global Payments merchant portal. MFA must be mandatory — not optional. Validate MFA enforcement in portal settings before provisioning any users.</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8.4.2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IAM-02</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Least-Privilege Role Assignment on Portal</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Map each Sobeys job function to the minimum required portal role (e.g., reporting-only, dispute manager, administrator). Do not assign administrator roles to operational users. Document the role matrix. Review quarterly.</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7.2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IAM-03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Joiner / Mover / Leaver (JML) Process for Portal Users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Implement a formal JML process integrated with Sobeys' HR system. New joiners receive access within their role only on day 1. Role changes trigger immediate access modification. Leavers must have portal access revoked within 24 hours of departure. Automated triggers preferred.</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At 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8.3.4 / ISO 27001 A.9.2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IAM-04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API Credential Management</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Store all Global Payments API keys and HMAC secrets in an enterprise secrets manager (e.g., HashiCorp Vault, Azure Key Vault, AWS Secrets Manager). Never store credentials in source code, configuration files, or environment variables in plaintext. Implement automated rotation every 90 days.</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8.3.6 / NIST SP 800-57</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IAM-05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API Key Rotation on Personnel Change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Immediately rotate all API credentials when any Sobeys personnel with knowledge of those credentials departs or changes role. Treat API credentials as passwords — subject to the same lifecycle controls.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At 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8.3.9</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IAM-06</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Privileged Access Management (PAM) for Payment Systems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All privileged access to payment-adjacent systems (POS management servers, SFTP, integration middleware, secrets manager) must route through Sobeys' PAM solution (e.g., CyberArk, BeyondTrust). No standing privileged sessions. Session recording mandatory.</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8.2.2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IAM-07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Shared Account Prohibition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Prohibit shared or generic accounts for any system involved in payment processing. Each user must have a unique, individually attributable account. Service accounts must be named, documented, and tied to a specific technical function — not to a person.</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8.2.1</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IAM-08</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Portal Session Timeout</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Configure the Global Payments merchant portal (and any Sobeys-built admin interfaces) to enforce an idle session timeout of 15 minutes maximum. After timeout, re-authentication including MFA must be required.</w:t>
            </w:r>
          </w:p>
        </w:tc>
        <w:tc>
          <w:tcPr>
            <w:tcW w:type="dxa" w:w="800"/>
            <w:tcBorders>
              <w:top w:val="single" w:color="CCCCCC" w:sz="1"/>
              <w:left w:val="single" w:color="CCCCCC" w:sz="1"/>
              <w:bottom w:val="single" w:color="CCCCCC" w:sz="1"/>
              <w:right w:val="single" w:color="CCCCCC" w:sz="1"/>
            </w:tcBorders>
            <w:shd w:fill="FFD966"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Medium</w:t>
            </w:r>
          </w:p>
        </w:tc>
        <w:tc>
          <w:tcPr>
            <w:tcW w:type="dxa" w:w="10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At 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8.2.8</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IAM-09</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Quarterly Access Review and Recertification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Conduct formal quarterly access reviews of all Sobeys user accounts on the Global Payments portal, API credential holders, and privileged access accounts on payment systems. Managers must certify that each account holder still requires their current level of access.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37562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Ongoing</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7.2.5 / ISO 27001 A.9.2.5</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IAM-10</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SAML/SSO Integration with Enterprise IdP</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Integrate the Global Payments merchant portal with Sobeys' enterprise Identity Provider (Entra ID / Okta) via SAML 2.0 or OIDC. Ensures that portal access inherits Sobeys' centrally managed MFA, conditional access policies, and JML lifecycle controls.</w:t>
            </w:r>
          </w:p>
        </w:tc>
        <w:tc>
          <w:tcPr>
            <w:tcW w:type="dxa" w:w="800"/>
            <w:tcBorders>
              <w:top w:val="single" w:color="CCCCCC" w:sz="1"/>
              <w:left w:val="single" w:color="CCCCCC" w:sz="1"/>
              <w:bottom w:val="single" w:color="CCCCCC" w:sz="1"/>
              <w:right w:val="single" w:color="CCCCCC" w:sz="1"/>
            </w:tcBorders>
            <w:shd w:fill="FFD966"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Medium</w:t>
            </w:r>
          </w:p>
        </w:tc>
        <w:tc>
          <w:tcPr>
            <w:tcW w:type="dxa" w:w="1000"/>
            <w:tcBorders>
              <w:top w:val="single" w:color="CCCCCC" w:sz="1"/>
              <w:left w:val="single" w:color="CCCCCC" w:sz="1"/>
              <w:bottom w:val="single" w:color="CCCCCC" w:sz="1"/>
              <w:right w:val="single" w:color="CCCCCC" w:sz="1"/>
            </w:tcBorders>
            <w:shd w:fill="FFD966"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Post (30-90d)</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ISO 27001 A.9.1 / NIST CSF PR.AC</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375E" w:sz="1"/>
              <w:left w:val="single" w:color="17375E" w:sz="1"/>
              <w:bottom w:val="single" w:color="2E75B6" w:sz="6"/>
              <w:right w:val="single" w:color="17375E" w:sz="1"/>
            </w:tcBorders>
            <w:shd w:fill="17375E" w:val="clear"/>
            <w:tcMar>
              <w:top w:type="dxa" w:w="100"/>
              <w:left w:type="dxa" w:w="180"/>
              <w:bottom w:type="dxa" w:w="100"/>
              <w:right w:type="dxa" w:w="180"/>
            </w:tcMar>
          </w:tcPr>
          <w:p>
            <w:r>
              <w:rPr>
                <w:rFonts w:ascii="Arial" w:cs="Arial" w:eastAsia="Arial" w:hAnsi="Arial"/>
                <w:b/>
                <w:bCs/>
                <w:color w:val="9DC3E6"/>
                <w:sz w:val="22"/>
                <w:szCs w:val="22"/>
              </w:rPr>
              <w:t xml:space="preserve">DOMAIN 04  </w:t>
            </w:r>
            <w:r>
              <w:rPr>
                <w:rFonts w:ascii="Arial" w:cs="Arial" w:eastAsia="Arial" w:hAnsi="Arial"/>
                <w:b/>
                <w:bCs/>
                <w:color w:val="FFFFFF"/>
                <w:sz w:val="22"/>
                <w:szCs w:val="22"/>
              </w:rPr>
              <w:t xml:space="preserve">—  Application &amp; Integration Security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900"/>
        <w:gridCol w:w="3500"/>
        <w:gridCol w:w="800"/>
        <w:gridCol w:w="1000"/>
        <w:gridCol w:w="1520"/>
      </w:tblGrid>
      <w:tr>
        <w:trPr>
          <w:tblHeader/>
        </w:trPr>
        <w:tc>
          <w:tcPr>
            <w:tcW w:type="dxa" w:w="64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REQ ID</w:t>
            </w:r>
          </w:p>
        </w:tc>
        <w:tc>
          <w:tcPr>
            <w:tcW w:type="dxa" w:w="19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Security Requirement</w:t>
            </w:r>
          </w:p>
        </w:tc>
        <w:tc>
          <w:tcPr>
            <w:tcW w:type="dxa" w:w="35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Control / Implementation Detail</w:t>
            </w:r>
          </w:p>
        </w:tc>
        <w:tc>
          <w:tcPr>
            <w:tcW w:type="dxa" w:w="8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Phase</w:t>
            </w:r>
          </w:p>
        </w:tc>
        <w:tc>
          <w:tcPr>
            <w:tcW w:type="dxa" w:w="152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Standard Ref.</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AS-01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Webhook Signature Validation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Validate the HMAC-SHA256 signature on every inbound webhook payload received from Global Payments before processing. Reject and alert on any payload with a missing, invalid, or expired signature. Log all validation failures to the SIEM.</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OWASP API Top 10 2023</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AS-02</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OWASP API Security Review of Integration Code</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Conduct a structured OWASP API Security Top 10 code review of all Sobeys-developed integration middleware before go-live. Cover: Broken Object Level Auth, Broken Auth, Excessive Data Exposure, Rate Limiting, BOLA, SSRF, and Injection. Remediate all High/Critical findings before cutover.</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OWASP API Top 10 2023</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AS-03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TLS Certificate Pinning on POS Terminals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Implement certificate pinning in POS terminal firmware to prevent man-in-the-middle attacks. Terminals should only accept TLS connections to Global Payments API endpoints presenting a certificate matching the pinned certificate fingerprint or public key.</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4.2.1</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AS-04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Input Validation on API Response Handling</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Validate and sanitise all data received in Global Payments API responses before processing in Sobeys' systems. Reject unexpected fields, enforce strict schema validation (JSON Schema or equivalent), and never pass unvalidated response data into database queries or downstream systems.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OWASP Top 10 A03</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AS-05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Idempotency Key Implementation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Implement client-side idempotency keys on all payment API requests to prevent duplicate transaction processing on network retry or timeout. Store idempotency keys with a TTL matching the Global Payments duplicate-check window. Log retried requests separately from original requests.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Global Payments API Spec</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AS-06</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SDK Dependency Monitoring and SBOM</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Maintain a Software Bill of Materials (SBOM) for all Global Payments SDKs and their transitive dependencies. Integrate automated dependency vulnerability scanning (e.g., Dependabot, Snyk, or Trivy) in the CI/CD pipeline. Critical SDK CVEs must be patched within 30 days.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At 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6.3.2 / NIST SSDF</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AS-07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Secrets Never in Source Code or Logs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Enforce via CI/CD pipeline scanning (e.g., truffleHog, GitGuardian) that no API keys, HMAC secrets, or credentials are committed to source code repositories. Configure log scrubbing to ensure API keys, PANs, and tokens are never written to application logs in any form.</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3.3 / NIST SSDF</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AS-08</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Error Handling — No Sensitive Data Leakage</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Configure all Sobeys integration middleware to return generic error messages to clients. Never expose internal stack traces, API keys, token values, partial PANs, or SQL error details in API error responses or error logs accessible outside the CDE.</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OWASP Top 10 A09</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AS-09</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Penetration Test of Integration Layer</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Conduct a payment-focused application penetration test covering the Sobeys integration middleware, POS communication path, webhook receiver, and admin portal before go-live. Remediate all Critical and High findings. Retain the test report and remediation evidence for PCI DSS audit purposes.</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11.4</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AS-10</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Change Management for Integration Updates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All changes to the Global Payments integration code, SDK version updates, API endpoint changes, and firewall rule modifications must follow Sobeys' formal change management process. Security review gate mandatory for changes affecting the CDE. Emergency change process must include retrospective security review.</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37562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Ongoing</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6.5 / ISO 27001 A.12.1.2</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375E" w:sz="1"/>
              <w:left w:val="single" w:color="17375E" w:sz="1"/>
              <w:bottom w:val="single" w:color="2E75B6" w:sz="6"/>
              <w:right w:val="single" w:color="17375E" w:sz="1"/>
            </w:tcBorders>
            <w:shd w:fill="17375E" w:val="clear"/>
            <w:tcMar>
              <w:top w:type="dxa" w:w="100"/>
              <w:left w:type="dxa" w:w="180"/>
              <w:bottom w:type="dxa" w:w="100"/>
              <w:right w:type="dxa" w:w="180"/>
            </w:tcMar>
          </w:tcPr>
          <w:p>
            <w:r>
              <w:rPr>
                <w:rFonts w:ascii="Arial" w:cs="Arial" w:eastAsia="Arial" w:hAnsi="Arial"/>
                <w:b/>
                <w:bCs/>
                <w:color w:val="9DC3E6"/>
                <w:sz w:val="22"/>
                <w:szCs w:val="22"/>
              </w:rPr>
              <w:t xml:space="preserve">DOMAIN 05  </w:t>
            </w:r>
            <w:r>
              <w:rPr>
                <w:rFonts w:ascii="Arial" w:cs="Arial" w:eastAsia="Arial" w:hAnsi="Arial"/>
                <w:b/>
                <w:bCs/>
                <w:color w:val="FFFFFF"/>
                <w:sz w:val="22"/>
                <w:szCs w:val="22"/>
              </w:rPr>
              <w:t xml:space="preserve">—  Data Protection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900"/>
        <w:gridCol w:w="3500"/>
        <w:gridCol w:w="800"/>
        <w:gridCol w:w="1000"/>
        <w:gridCol w:w="1520"/>
      </w:tblGrid>
      <w:tr>
        <w:trPr>
          <w:tblHeader/>
        </w:trPr>
        <w:tc>
          <w:tcPr>
            <w:tcW w:type="dxa" w:w="64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REQ ID</w:t>
            </w:r>
          </w:p>
        </w:tc>
        <w:tc>
          <w:tcPr>
            <w:tcW w:type="dxa" w:w="19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Security Requirement</w:t>
            </w:r>
          </w:p>
        </w:tc>
        <w:tc>
          <w:tcPr>
            <w:tcW w:type="dxa" w:w="35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Control / Implementation Detail</w:t>
            </w:r>
          </w:p>
        </w:tc>
        <w:tc>
          <w:tcPr>
            <w:tcW w:type="dxa" w:w="8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Phase</w:t>
            </w:r>
          </w:p>
        </w:tc>
        <w:tc>
          <w:tcPr>
            <w:tcW w:type="dxa" w:w="152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Standard Ref.</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DP-01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Cardholder Data Discovery and Elimination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Before go-live and quarterly thereafter, run a card data discovery tool across all Sobeys systems (databases, file shares, POS management systems, log archives, email systems). Any discovered cleartext PAN must be immediately deleted or tokenised. Zero-tolerance policy for PAN outside the defined CDE boundary.</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12.3.2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DP-02</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Token-Only Storage in Sobeys Systems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Enforce a policy that Sobeys' applications, databases, and logs must only store Global Payments-issued acquirer tokens (not PANs, not track data, not CVV2). Validate this through code review and database scanning before go-live. Include in application security standards.</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3.3</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DP-03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Encryption of Sobeys-Side Transaction Data at Rest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Encrypt all transaction records stored in Sobeys' databases (tokens, amounts, merchant IDs, timestamps) using AES-256 or equivalent. Encryption keys must be stored separately from the data in an HSM or managed key service. Document key management procedures.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3.5 / ISO 27001 A.10.1</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DP-04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TLS 1.3 Enforcement on All Payment Data Paths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Enforce TLS 1.3 (TLS 1.2 minimum) on all data paths carrying payment data: POS terminal to internet egress, integration middleware to Global Payments API, SFTP settlement, webhook receiver. Validate with external SSL scan before go-live and after any network change.</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4.2.1</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DP-05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Log Sanitisation — No PAN/Token in Logs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Implement log scrubbing in all Sobeys applications touching payment data. Specifically: never log full PANs, never log full tokens, never log CVV2, never log HMAC secrets or API keys. Acceptable: last 4 digits of PAN, masked token (first 4/last 4), transaction ID, error codes.</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3.3.1</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DP-06</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Encryption Key Lifecycle Management</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Define and enforce an encryption key lifecycle policy for all keys used in the Sobeys-side payment infrastructure: key generation (HSM or FIPS-validated source), rotation schedule (annually or upon compromise), access control (dual control / split knowledge for key custodians), and secure destruction.</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3.7 / NIST SP 800-57</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DP-07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Data Minimisation in API Requests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Configure Sobeys' integration middleware to send only the minimum required data fields to Global Payments. Do not pass loyalty identifiers, customer names, email addresses, or any data beyond what is required for payment authorisation unless explicitly required and Law 25-compliant.</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Law 25 / PIPEDA Data Minimisation</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DP-08</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Masking in All Reporting and Display</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Ensure all Sobeys-built reporting, dashboards, and customer-facing UIs display only masked PAN (e.g., **** **** **** 1234). Configure any BI tools or analytics platforms connected to transaction data to enforce column-level masking. Validate before go-live.</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3.3.1</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DP-09</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Data Retention Enforcement and Automated Purge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Implement automated retention and purge controls aligned with the defined retention schedule: tokens/transaction records purged at 18 months; settlement records archived at 7 years; fraud metadata anonymised at 12 months. Purge job must produce a deletion log for audit evidence.</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FFD966"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Post (30-90d)</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3.2.1 / Law 25</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DP-10</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Backup Encryption and Residency Controls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Ensure all backups of Sobeys-side payment data are encrypted (AES-256) before transmission to backup storage. Backup storage must be in Canada. Restrict backup access to authorised personnel only. Test backup restoration quarterly. Purge backups per the defined retention schedule.</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At 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3.5 / Law 25 S.17</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375E" w:sz="1"/>
              <w:left w:val="single" w:color="17375E" w:sz="1"/>
              <w:bottom w:val="single" w:color="2E75B6" w:sz="6"/>
              <w:right w:val="single" w:color="17375E" w:sz="1"/>
            </w:tcBorders>
            <w:shd w:fill="17375E" w:val="clear"/>
            <w:tcMar>
              <w:top w:type="dxa" w:w="100"/>
              <w:left w:type="dxa" w:w="180"/>
              <w:bottom w:type="dxa" w:w="100"/>
              <w:right w:type="dxa" w:w="180"/>
            </w:tcMar>
          </w:tcPr>
          <w:p>
            <w:r>
              <w:rPr>
                <w:rFonts w:ascii="Arial" w:cs="Arial" w:eastAsia="Arial" w:hAnsi="Arial"/>
                <w:b/>
                <w:bCs/>
                <w:color w:val="9DC3E6"/>
                <w:sz w:val="22"/>
                <w:szCs w:val="22"/>
              </w:rPr>
              <w:t xml:space="preserve">DOMAIN 06  </w:t>
            </w:r>
            <w:r>
              <w:rPr>
                <w:rFonts w:ascii="Arial" w:cs="Arial" w:eastAsia="Arial" w:hAnsi="Arial"/>
                <w:b/>
                <w:bCs/>
                <w:color w:val="FFFFFF"/>
                <w:sz w:val="22"/>
                <w:szCs w:val="22"/>
              </w:rPr>
              <w:t xml:space="preserve">—  Logging, Monitoring &amp; Incident Response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900"/>
        <w:gridCol w:w="3500"/>
        <w:gridCol w:w="800"/>
        <w:gridCol w:w="1000"/>
        <w:gridCol w:w="1520"/>
      </w:tblGrid>
      <w:tr>
        <w:trPr>
          <w:tblHeader/>
        </w:trPr>
        <w:tc>
          <w:tcPr>
            <w:tcW w:type="dxa" w:w="64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REQ ID</w:t>
            </w:r>
          </w:p>
        </w:tc>
        <w:tc>
          <w:tcPr>
            <w:tcW w:type="dxa" w:w="19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Security Requirement</w:t>
            </w:r>
          </w:p>
        </w:tc>
        <w:tc>
          <w:tcPr>
            <w:tcW w:type="dxa" w:w="35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Control / Implementation Detail</w:t>
            </w:r>
          </w:p>
        </w:tc>
        <w:tc>
          <w:tcPr>
            <w:tcW w:type="dxa" w:w="8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Phase</w:t>
            </w:r>
          </w:p>
        </w:tc>
        <w:tc>
          <w:tcPr>
            <w:tcW w:type="dxa" w:w="152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Standard Ref.</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LM-01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SIEM Integration for Payment Events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Integrate Global Payments log export (API or syslog) into Sobeys' SIEM platform. Configure ingestion of: API access logs, fraud alert events, authentication events, and settlement file transfer logs. Validate log flow before go-live. Ensure 12 months of online log retention in SIEM.</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10.4 / 10.5</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LM-02</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Centralised Logging for All Payment Components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Aggregate logs from all Sobeys-owned payment components into the SIEM: POS management system, integration middleware, SFTP server, webhook receiver, API gateway, firewall, and network switches in the POS VLAN. Logs must include timestamp (NTP-synchronised), source IP, user ID, and event outcome.</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10.2 / 10.3</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LM-03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Real-Time Alerting on Payment Security Events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Configure SIEM alert rules for the following events: failed Global Payments API authentication, webhook signature validation failure, outbound connection from POS VLAN to non-allowlisted IP, card data discovery tool alert, POS terminal tamper event, failed SFTP login, portal admin account changes. All Critical alerts must page the SOC within 5 minutes.</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10.7 / 12.10.5</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LM-04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Log Integrity Protection</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Implement tamper-evident log storage: forward all payment-related logs to a write-once (WORM) log archive or use cryptographic hash chaining. Logs must not be modifiable by the systems that generate them. Validate log integrity controls before go-live.</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10.3.3</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LM-05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NTP Time Synchronisation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Ensure all Sobeys systems generating payment logs (POS terminals, middleware servers, SFTP, firewall, SIEM) are synchronised to a consistent, reliable NTP source. Time discrepancy greater than 60 seconds across payment components must trigger an alert. Accurate timestamps are essential for forensic correlation.</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10.6</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LM-06</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Fraud Alert Integration into SOC Workflow</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Configure Global Payments fraud alerts (high-risk transaction flags, velocity alerts, device anomalies) to flow into Sobeys' SOC incident management platform (ServiceNow, Jira, or equivalent). Define response playbooks for each fraud alert type. SLA: SOC acknowledges fraud alert within 15 minutes.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At 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12.10.5</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LM-07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Payment Incident Response Plan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Develop and maintain a payment-specific incident response (IR) plan covering: suspected PAN compromise, POS terminal tampering, API credential compromise, settlement file interception, and breach of the Global Payments integration. IR plan must include Global Payments escalation contacts, card brand notification paths, and OPC/CAI reporting procedures.</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12.10 / PIPEDA / Law 25</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LM-08</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Annual Payment IR Tabletop Exercise</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Conduct an annual tabletop exercise simulating a payment data breach scenario. Participants must include Security, IT Operations, Legal, Privacy Officer, Communications, and Finance. Test the notification SLAs committed to in the Global Payments merchant agreement.</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37562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Ongoing</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12.10.4</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LM-09</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File Integrity Monitoring (FIM) on Payment Systems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Deploy FIM on all Sobeys servers in the payment data path (integration middleware, POS management, SFTP). Alert on unexpected changes to payment application files, configuration files, and scripts. Investigate all FIM alerts within 24 hours.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At 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11.5.2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LM-10</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Log Archive Retention — 24 Months Total</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Retain payment-related logs for 24 months total: 12 months immediately available (online / SIEM hot tier), 12 months archived (cold tier). Purge after 24 months per the data retention schedule. Confirm SIEM storage capacity supports 12-month online retention before go-live.</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At 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10.5.1</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375E" w:sz="1"/>
              <w:left w:val="single" w:color="17375E" w:sz="1"/>
              <w:bottom w:val="single" w:color="2E75B6" w:sz="6"/>
              <w:right w:val="single" w:color="17375E" w:sz="1"/>
            </w:tcBorders>
            <w:shd w:fill="17375E" w:val="clear"/>
            <w:tcMar>
              <w:top w:type="dxa" w:w="100"/>
              <w:left w:type="dxa" w:w="180"/>
              <w:bottom w:type="dxa" w:w="100"/>
              <w:right w:type="dxa" w:w="180"/>
            </w:tcMar>
          </w:tcPr>
          <w:p>
            <w:r>
              <w:rPr>
                <w:rFonts w:ascii="Arial" w:cs="Arial" w:eastAsia="Arial" w:hAnsi="Arial"/>
                <w:b/>
                <w:bCs/>
                <w:color w:val="9DC3E6"/>
                <w:sz w:val="22"/>
                <w:szCs w:val="22"/>
              </w:rPr>
              <w:t xml:space="preserve">DOMAIN 07  </w:t>
            </w:r>
            <w:r>
              <w:rPr>
                <w:rFonts w:ascii="Arial" w:cs="Arial" w:eastAsia="Arial" w:hAnsi="Arial"/>
                <w:b/>
                <w:bCs/>
                <w:color w:val="FFFFFF"/>
                <w:sz w:val="22"/>
                <w:szCs w:val="22"/>
              </w:rPr>
              <w:t xml:space="preserve">—  Physical Security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900"/>
        <w:gridCol w:w="3500"/>
        <w:gridCol w:w="800"/>
        <w:gridCol w:w="1000"/>
        <w:gridCol w:w="1520"/>
      </w:tblGrid>
      <w:tr>
        <w:trPr>
          <w:tblHeader/>
        </w:trPr>
        <w:tc>
          <w:tcPr>
            <w:tcW w:type="dxa" w:w="64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REQ ID</w:t>
            </w:r>
          </w:p>
        </w:tc>
        <w:tc>
          <w:tcPr>
            <w:tcW w:type="dxa" w:w="19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Security Requirement</w:t>
            </w:r>
          </w:p>
        </w:tc>
        <w:tc>
          <w:tcPr>
            <w:tcW w:type="dxa" w:w="35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Control / Implementation Detail</w:t>
            </w:r>
          </w:p>
        </w:tc>
        <w:tc>
          <w:tcPr>
            <w:tcW w:type="dxa" w:w="8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Phase</w:t>
            </w:r>
          </w:p>
        </w:tc>
        <w:tc>
          <w:tcPr>
            <w:tcW w:type="dxa" w:w="152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Standard Ref.</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PS-01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Restricted Physical Access to POS Terminals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Restrict physical access to POS terminals to authorised store personnel only. POS terminals must not be accessible to customers for any purpose other than card entry. Configure physical placement so the PIN pad is shielded from camera line-of-sight during PIN entry.</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9.1 / 9.9</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PS-02</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CCTV Coverage of POS Terminal Areas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Ensure CCTV cameras cover all POS terminal locations. Camera positioning must capture persons interacting with terminals without capturing PIN entry. Retain CCTV footage for minimum 90 days. Footage must be reviewed when a tamper incident is reported.</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9.3</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PS-03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Restricted Access to Network Equipment in CDE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Physically secure all network equipment in the POS VLAN (switches, patch panels, routers) in locked cabinets or cages. Access restricted to authorised IT personnel only. Maintain an access log. Review access log quarterly.</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9.2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PS-04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Media Handling and Secure Disposal</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All physical media (hard drives, USB drives, backup tapes) containing payment data must be stored in a locked, access-controlled environment. Disposal requires NIST 800-88 compliant destruction (shredding / degaussing). Obtain and retain destruction certificates.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9.4.6 / 9.4.7</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PS-05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Visitor Access Control in CDE Areas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Implement visitor management in any area classified as CDE (e.g., server rooms, network closets hosting POS VLAN equipment). Visitors must be escorted at all times. Log visitor identity, purpose, and access time. Visitor badges must be visually distinct from employee badges.</w:t>
            </w:r>
          </w:p>
        </w:tc>
        <w:tc>
          <w:tcPr>
            <w:tcW w:type="dxa" w:w="800"/>
            <w:tcBorders>
              <w:top w:val="single" w:color="CCCCCC" w:sz="1"/>
              <w:left w:val="single" w:color="CCCCCC" w:sz="1"/>
              <w:bottom w:val="single" w:color="CCCCCC" w:sz="1"/>
              <w:right w:val="single" w:color="CCCCCC" w:sz="1"/>
            </w:tcBorders>
            <w:shd w:fill="FFD966"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Medium</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9.3.1</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375E" w:sz="1"/>
              <w:left w:val="single" w:color="17375E" w:sz="1"/>
              <w:bottom w:val="single" w:color="2E75B6" w:sz="6"/>
              <w:right w:val="single" w:color="17375E" w:sz="1"/>
            </w:tcBorders>
            <w:shd w:fill="17375E" w:val="clear"/>
            <w:tcMar>
              <w:top w:type="dxa" w:w="100"/>
              <w:left w:type="dxa" w:w="180"/>
              <w:bottom w:type="dxa" w:w="100"/>
              <w:right w:type="dxa" w:w="180"/>
            </w:tcMar>
          </w:tcPr>
          <w:p>
            <w:r>
              <w:rPr>
                <w:rFonts w:ascii="Arial" w:cs="Arial" w:eastAsia="Arial" w:hAnsi="Arial"/>
                <w:b/>
                <w:bCs/>
                <w:color w:val="9DC3E6"/>
                <w:sz w:val="22"/>
                <w:szCs w:val="22"/>
              </w:rPr>
              <w:t xml:space="preserve">DOMAIN 08  </w:t>
            </w:r>
            <w:r>
              <w:rPr>
                <w:rFonts w:ascii="Arial" w:cs="Arial" w:eastAsia="Arial" w:hAnsi="Arial"/>
                <w:b/>
                <w:bCs/>
                <w:color w:val="FFFFFF"/>
                <w:sz w:val="22"/>
                <w:szCs w:val="22"/>
              </w:rPr>
              <w:t xml:space="preserve">—  Vulnerability Management &amp; Patching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900"/>
        <w:gridCol w:w="3500"/>
        <w:gridCol w:w="800"/>
        <w:gridCol w:w="1000"/>
        <w:gridCol w:w="1520"/>
      </w:tblGrid>
      <w:tr>
        <w:trPr>
          <w:tblHeader/>
        </w:trPr>
        <w:tc>
          <w:tcPr>
            <w:tcW w:type="dxa" w:w="64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REQ ID</w:t>
            </w:r>
          </w:p>
        </w:tc>
        <w:tc>
          <w:tcPr>
            <w:tcW w:type="dxa" w:w="19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Security Requirement</w:t>
            </w:r>
          </w:p>
        </w:tc>
        <w:tc>
          <w:tcPr>
            <w:tcW w:type="dxa" w:w="35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Control / Implementation Detail</w:t>
            </w:r>
          </w:p>
        </w:tc>
        <w:tc>
          <w:tcPr>
            <w:tcW w:type="dxa" w:w="8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Phase</w:t>
            </w:r>
          </w:p>
        </w:tc>
        <w:tc>
          <w:tcPr>
            <w:tcW w:type="dxa" w:w="152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Standard Ref.</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VM-01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Quarterly External Vulnerability Scan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Conduct quarterly external vulnerability scans of all Sobeys internet-facing endpoints in the payment data path (webhook receiver, SFTP server, integration API gateway) using an Approved Scanning Vendor (ASV). All High/Critical findings must be remediated before the next scan cycle.</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11.3.2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VM-02</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Quarterly Internal Vulnerability Scan</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Conduct quarterly internal vulnerability scans of all Sobeys internal systems in the CDE (POS management servers, integration middleware, database servers, SFTP). Remediate critical findings within 30 days; high findings within 90 days.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11.3.1</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VM-03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Annual Penetration Test</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Conduct an annual network and application penetration test covering all CDE components, including the Global Payments integration layer. Penetration test must be performed by a qualified internal team or approved third-party. Remediate all critical and high findings before the next test cycle.</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37562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Ongoing</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11.4</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VM-04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Critical Patch SLA — 30 Days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Apply critical security patches (CVSS 9.0+) to all systems in the payment data path within 30 days of vendor release. Apply high-severity patches (CVSS 7.0–8.9) within 90 days. Track patch compliance in a vulnerability management platform. Exceptions require CISO sign-off and a compensating control.</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37562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Ongoing</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6.3.3</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VM-05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Vulnerability Management for Integration Dependencies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Track CVEs in all third-party libraries used in the Global Payments integration (SDKs, HTTP clients, JSON parsers, crypto libraries). Use automated tools (Snyk, OWASP Dependency-Check) in CI/CD pipeline. Critical library vulnerabilities must be patched within 30 days of disclosure.</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37562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Ongoing</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6.3.2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VM-06</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Configuration Baseline and CIS Benchmark</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Apply CIS Security Benchmark hardening to all Sobeys servers in the payment data path. Maintain a configuration baseline and use automated compliance scanning (e.g., Tenable.sc, Qualys, or AWS Config) to detect drift. Any drift from the baseline must trigger a remediation ticket within 24 hours.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2.2 / CIS Controls v8</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375E" w:sz="1"/>
              <w:left w:val="single" w:color="17375E" w:sz="1"/>
              <w:bottom w:val="single" w:color="2E75B6" w:sz="6"/>
              <w:right w:val="single" w:color="17375E" w:sz="1"/>
            </w:tcBorders>
            <w:shd w:fill="17375E" w:val="clear"/>
            <w:tcMar>
              <w:top w:type="dxa" w:w="100"/>
              <w:left w:type="dxa" w:w="180"/>
              <w:bottom w:type="dxa" w:w="100"/>
              <w:right w:type="dxa" w:w="180"/>
            </w:tcMar>
          </w:tcPr>
          <w:p>
            <w:r>
              <w:rPr>
                <w:rFonts w:ascii="Arial" w:cs="Arial" w:eastAsia="Arial" w:hAnsi="Arial"/>
                <w:b/>
                <w:bCs/>
                <w:color w:val="9DC3E6"/>
                <w:sz w:val="22"/>
                <w:szCs w:val="22"/>
              </w:rPr>
              <w:t xml:space="preserve">DOMAIN 09  </w:t>
            </w:r>
            <w:r>
              <w:rPr>
                <w:rFonts w:ascii="Arial" w:cs="Arial" w:eastAsia="Arial" w:hAnsi="Arial"/>
                <w:b/>
                <w:bCs/>
                <w:color w:val="FFFFFF"/>
                <w:sz w:val="22"/>
                <w:szCs w:val="22"/>
              </w:rPr>
              <w:t xml:space="preserve">—  Privacy &amp; Regulatory Compliance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900"/>
        <w:gridCol w:w="3500"/>
        <w:gridCol w:w="800"/>
        <w:gridCol w:w="1000"/>
        <w:gridCol w:w="1520"/>
      </w:tblGrid>
      <w:tr>
        <w:trPr>
          <w:tblHeader/>
        </w:trPr>
        <w:tc>
          <w:tcPr>
            <w:tcW w:type="dxa" w:w="64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REQ ID</w:t>
            </w:r>
          </w:p>
        </w:tc>
        <w:tc>
          <w:tcPr>
            <w:tcW w:type="dxa" w:w="19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Security Requirement</w:t>
            </w:r>
          </w:p>
        </w:tc>
        <w:tc>
          <w:tcPr>
            <w:tcW w:type="dxa" w:w="35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Control / Implementation Detail</w:t>
            </w:r>
          </w:p>
        </w:tc>
        <w:tc>
          <w:tcPr>
            <w:tcW w:type="dxa" w:w="8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Phase</w:t>
            </w:r>
          </w:p>
        </w:tc>
        <w:tc>
          <w:tcPr>
            <w:tcW w:type="dxa" w:w="152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Standard Ref.</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PR-01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Law 25 Privacy Impact Assessment (PIA)</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Complete a formal Privacy Impact Assessment covering the Global Payments integration before any personal information is processed through the platform. PIA must document: data elements, purposes, legal basis, cross-border flows, risks, and mitigation measures. Assign Privacy Officer as PIA lead. PIA must be a living document — update on any material change.</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Quebec Law 25 S.3.3</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PR-02</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Transfer Impact Assessment (TIA) for Cross-Border Data</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If any personal information (device fingerprint, IP address, cardholder name, or transaction metadata linked to identifiable individuals) is processed outside Quebec, complete a documented TIA before go-live. TIA must assess the receiving jurisdiction's legal protections including US CLOUD Act exposure for Global Payments as a US-incorporated entity.</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Quebec Law 25 S.17</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PR-03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Data Processing Agreement (DPA) Execution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Execute a Law 25-compliant Data Processing Agreement with Global Payments before go-live. DPA must include: Canadian data residency warranty, subprocessor list and change notification, right to erasure support, breach notification obligations, and cross-border transfer restrictions.</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Law 25 / PIPEDA</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PR-04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Privacy Notice Update</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Update Sobeys' customer-facing privacy notice to disclose: the engagement of Global Payments as a payment processing service provider, the categories of data shared, the purpose of data sharing, and any cross-border transfers (if applicable). Ensure the notice is accessible at the point of data collection.</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Law 25 S.8 / PIPEDA S.4.8</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PR-05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Consent Management for Secondary Data Use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Ensure no Sobeys customer personal information is passed to Global Payments for any purpose beyond payment authorisation and fraud prevention without explicit, documented consent. Prohibit Global Payments from using Sobeys transaction data for cross-merchant analytics or model training without consent.</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Law 25 / PIPEDA Principle 3</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PR-06</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Data Subject Rights Process for Payment Data</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Establish a documented process for responding to data subject rights requests (access, erasure, portability) that involve data held by Global Payments. Define the process for submitting requests to Global Payments and the expected response timeline. Law 25 requires response within 30 days.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FFD966"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Post (30-90d)</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Law 25 S.27 / PIPEDA S.4.9</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PR-07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Privacy by Design in Integration Architecture</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Apply Privacy by Design principles to the Global Payments integration: default to the minimum data set, no collection of data beyond payment necessity, no data sharing with Global Payments outside defined purposes, privacy risk assessment for any integration change affecting personal information.</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Law 25 S.3.2 / ISO 29100</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PR-08</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Breach Register and Regulatory Notification Process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Maintain a privacy breach register documenting all confirmed or suspected incidents involving personal information in the payment data path. Define and test the process for notifying the OPC (PIPEDA) and CAI (Law 25) within 72 hours of a high-risk incident. Include notification templates in the IR plan.</w:t>
            </w:r>
          </w:p>
        </w:tc>
        <w:tc>
          <w:tcPr>
            <w:tcW w:type="dxa" w:w="8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Critical</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PIPEDA Breach Regs / Law 25 S.3.5</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PR-09</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Annual Privacy Compliance Review</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Conduct an annual review of Sobeys' privacy obligations as they relate to the Global Payments integration. Review should cover: Law 25 compliance posture, DPA adherence, data retention enforcement, new subprocessors, and any regulatory guidance updates from the CAI or OPC.</w:t>
            </w:r>
          </w:p>
        </w:tc>
        <w:tc>
          <w:tcPr>
            <w:tcW w:type="dxa" w:w="800"/>
            <w:tcBorders>
              <w:top w:val="single" w:color="CCCCCC" w:sz="1"/>
              <w:left w:val="single" w:color="CCCCCC" w:sz="1"/>
              <w:bottom w:val="single" w:color="CCCCCC" w:sz="1"/>
              <w:right w:val="single" w:color="CCCCCC" w:sz="1"/>
            </w:tcBorders>
            <w:shd w:fill="FFD966"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Medium</w:t>
            </w:r>
          </w:p>
        </w:tc>
        <w:tc>
          <w:tcPr>
            <w:tcW w:type="dxa" w:w="1000"/>
            <w:tcBorders>
              <w:top w:val="single" w:color="CCCCCC" w:sz="1"/>
              <w:left w:val="single" w:color="CCCCCC" w:sz="1"/>
              <w:bottom w:val="single" w:color="CCCCCC" w:sz="1"/>
              <w:right w:val="single" w:color="CCCCCC" w:sz="1"/>
            </w:tcBorders>
            <w:shd w:fill="37562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Ongoing</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Law 25 / PIPEDA / ISO 27701</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375E" w:sz="1"/>
              <w:left w:val="single" w:color="17375E" w:sz="1"/>
              <w:bottom w:val="single" w:color="2E75B6" w:sz="6"/>
              <w:right w:val="single" w:color="17375E" w:sz="1"/>
            </w:tcBorders>
            <w:shd w:fill="17375E" w:val="clear"/>
            <w:tcMar>
              <w:top w:type="dxa" w:w="100"/>
              <w:left w:type="dxa" w:w="180"/>
              <w:bottom w:type="dxa" w:w="100"/>
              <w:right w:type="dxa" w:w="180"/>
            </w:tcMar>
          </w:tcPr>
          <w:p>
            <w:r>
              <w:rPr>
                <w:rFonts w:ascii="Arial" w:cs="Arial" w:eastAsia="Arial" w:hAnsi="Arial"/>
                <w:b/>
                <w:bCs/>
                <w:color w:val="9DC3E6"/>
                <w:sz w:val="22"/>
                <w:szCs w:val="22"/>
              </w:rPr>
              <w:t xml:space="preserve">DOMAIN 10  </w:t>
            </w:r>
            <w:r>
              <w:rPr>
                <w:rFonts w:ascii="Arial" w:cs="Arial" w:eastAsia="Arial" w:hAnsi="Arial"/>
                <w:b/>
                <w:bCs/>
                <w:color w:val="FFFFFF"/>
                <w:sz w:val="22"/>
                <w:szCs w:val="22"/>
              </w:rPr>
              <w:t xml:space="preserve">—  Third-Party &amp; Vendor Risk Management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900"/>
        <w:gridCol w:w="3500"/>
        <w:gridCol w:w="800"/>
        <w:gridCol w:w="1000"/>
        <w:gridCol w:w="1520"/>
      </w:tblGrid>
      <w:tr>
        <w:trPr>
          <w:tblHeader/>
        </w:trPr>
        <w:tc>
          <w:tcPr>
            <w:tcW w:type="dxa" w:w="64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REQ ID</w:t>
            </w:r>
          </w:p>
        </w:tc>
        <w:tc>
          <w:tcPr>
            <w:tcW w:type="dxa" w:w="19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Security Requirement</w:t>
            </w:r>
          </w:p>
        </w:tc>
        <w:tc>
          <w:tcPr>
            <w:tcW w:type="dxa" w:w="35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Control / Implementation Detail</w:t>
            </w:r>
          </w:p>
        </w:tc>
        <w:tc>
          <w:tcPr>
            <w:tcW w:type="dxa" w:w="8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Phase</w:t>
            </w:r>
          </w:p>
        </w:tc>
        <w:tc>
          <w:tcPr>
            <w:tcW w:type="dxa" w:w="152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Standard Ref.</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VR-01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Annual Vendor Risk Assessment of Global Payments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Conduct a formal annual vendor risk assessment of Global Payments using Sobeys' standard vendor risk questionnaire (HECVAT, CSA CAIQ, or equivalent). Assess: security posture, PCI DSS compliance, financial stability, subprocessor chain, and incident history. Document findings and track remediation of any identified gaps.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37562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Ongoing</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ISO 27001 A.15 / NIST CSF ID.SC</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VR-02</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Review Global Payments AoC Annually</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Obtain and review the Global Payments Level 1 PCI DSS Attestation of Compliance (AoC) every year upon renewal. Confirm: scope has not materially changed, Canadian operations remain in scope, and no adverse findings are noted. Retain the AoC in Sobeys' vendor compliance file.</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37562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Ongoing</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12.8.4</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VR-03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Subprocessor Change Monitoring</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Actively monitor Global Payments' subprocessor list for changes. Upon notification of a new subprocessor, assess the privacy and security impact within 30 days. If the new subprocessor introduces unacceptable data residency or privacy risk, exercise the contractual right to object.</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37562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Ongoing</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Law 25 S.17 / PCI DSS Req 12.8</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VR-04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Penetration Test Executive Summary Review</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Annually request and review the executive summary of Global Payments' penetration test results and evidence of remediation of Critical and High findings. Retain as assurance evidence in the vendor file.</w:t>
            </w:r>
          </w:p>
        </w:tc>
        <w:tc>
          <w:tcPr>
            <w:tcW w:type="dxa" w:w="800"/>
            <w:tcBorders>
              <w:top w:val="single" w:color="CCCCCC" w:sz="1"/>
              <w:left w:val="single" w:color="CCCCCC" w:sz="1"/>
              <w:bottom w:val="single" w:color="CCCCCC" w:sz="1"/>
              <w:right w:val="single" w:color="CCCCCC" w:sz="1"/>
            </w:tcBorders>
            <w:shd w:fill="FFD966"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Medium</w:t>
            </w:r>
          </w:p>
        </w:tc>
        <w:tc>
          <w:tcPr>
            <w:tcW w:type="dxa" w:w="1000"/>
            <w:tcBorders>
              <w:top w:val="single" w:color="CCCCCC" w:sz="1"/>
              <w:left w:val="single" w:color="CCCCCC" w:sz="1"/>
              <w:bottom w:val="single" w:color="CCCCCC" w:sz="1"/>
              <w:right w:val="single" w:color="CCCCCC" w:sz="1"/>
            </w:tcBorders>
            <w:shd w:fill="37562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Ongoing</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12.8.4 / ISO 27001 A.15</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VR-05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Global Payments Security Advisory Subscription</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Register Sobeys' Security Architecture and SOC teams for Global Payments' security advisory / platform change notification service. Define an internal SLA for reviewing advisories: Critical advisories within 4 hours, High within 24 hours, others within 7 days.</w:t>
            </w:r>
          </w:p>
        </w:tc>
        <w:tc>
          <w:tcPr>
            <w:tcW w:type="dxa" w:w="800"/>
            <w:tcBorders>
              <w:top w:val="single" w:color="CCCCCC" w:sz="1"/>
              <w:left w:val="single" w:color="CCCCCC" w:sz="1"/>
              <w:bottom w:val="single" w:color="CCCCCC" w:sz="1"/>
              <w:right w:val="single" w:color="CCCCCC" w:sz="1"/>
            </w:tcBorders>
            <w:shd w:fill="FFD966"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Medium</w:t>
            </w:r>
          </w:p>
        </w:tc>
        <w:tc>
          <w:tcPr>
            <w:tcW w:type="dxa" w:w="10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At 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NIST CSF ID.RA / PCI DSS Req 6.3.1</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7375E" w:sz="1"/>
              <w:left w:val="single" w:color="17375E" w:sz="1"/>
              <w:bottom w:val="single" w:color="2E75B6" w:sz="6"/>
              <w:right w:val="single" w:color="17375E" w:sz="1"/>
            </w:tcBorders>
            <w:shd w:fill="17375E" w:val="clear"/>
            <w:tcMar>
              <w:top w:type="dxa" w:w="100"/>
              <w:left w:type="dxa" w:w="180"/>
              <w:bottom w:type="dxa" w:w="100"/>
              <w:right w:type="dxa" w:w="180"/>
            </w:tcMar>
          </w:tcPr>
          <w:p>
            <w:r>
              <w:rPr>
                <w:rFonts w:ascii="Arial" w:cs="Arial" w:eastAsia="Arial" w:hAnsi="Arial"/>
                <w:b/>
                <w:bCs/>
                <w:color w:val="9DC3E6"/>
                <w:sz w:val="22"/>
                <w:szCs w:val="22"/>
              </w:rPr>
              <w:t xml:space="preserve">DOMAIN 11  </w:t>
            </w:r>
            <w:r>
              <w:rPr>
                <w:rFonts w:ascii="Arial" w:cs="Arial" w:eastAsia="Arial" w:hAnsi="Arial"/>
                <w:b/>
                <w:bCs/>
                <w:color w:val="FFFFFF"/>
                <w:sz w:val="22"/>
                <w:szCs w:val="22"/>
              </w:rPr>
              <w:t xml:space="preserve">—  Staff Awareness &amp; Training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900"/>
        <w:gridCol w:w="3500"/>
        <w:gridCol w:w="800"/>
        <w:gridCol w:w="1000"/>
        <w:gridCol w:w="1520"/>
      </w:tblGrid>
      <w:tr>
        <w:trPr>
          <w:tblHeader/>
        </w:trPr>
        <w:tc>
          <w:tcPr>
            <w:tcW w:type="dxa" w:w="64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REQ ID</w:t>
            </w:r>
          </w:p>
        </w:tc>
        <w:tc>
          <w:tcPr>
            <w:tcW w:type="dxa" w:w="19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Security Requirement</w:t>
            </w:r>
          </w:p>
        </w:tc>
        <w:tc>
          <w:tcPr>
            <w:tcW w:type="dxa" w:w="35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Control / Implementation Detail</w:t>
            </w:r>
          </w:p>
        </w:tc>
        <w:tc>
          <w:tcPr>
            <w:tcW w:type="dxa" w:w="8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Priority</w:t>
            </w:r>
          </w:p>
        </w:tc>
        <w:tc>
          <w:tcPr>
            <w:tcW w:type="dxa" w:w="100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Phase</w:t>
            </w:r>
          </w:p>
        </w:tc>
        <w:tc>
          <w:tcPr>
            <w:tcW w:type="dxa" w:w="1520"/>
            <w:tcBorders>
              <w:top w:val="single" w:color="2E75B6" w:sz="1"/>
              <w:left w:val="single" w:color="2E75B6" w:sz="1"/>
              <w:bottom w:val="single" w:color="2E75B6" w:sz="1"/>
              <w:right w:val="single" w:color="2E75B6" w:sz="1"/>
            </w:tcBorders>
            <w:shd w:fill="2E75B6" w:val="clear"/>
            <w:tcMar>
              <w:top w:type="dxa" w:w="90"/>
              <w:left w:type="dxa" w:w="100"/>
              <w:bottom w:type="dxa" w:w="90"/>
              <w:right w:type="dxa" w:w="100"/>
            </w:tcMar>
            <w:vAlign w:val="center"/>
          </w:tcPr>
          <w:p>
            <w:pPr>
              <w:jc w:val="center"/>
            </w:pPr>
            <w:r>
              <w:rPr>
                <w:rFonts w:ascii="Arial" w:cs="Arial" w:eastAsia="Arial" w:hAnsi="Arial"/>
                <w:b/>
                <w:bCs/>
                <w:color w:val="FFFFFF"/>
                <w:sz w:val="18"/>
                <w:szCs w:val="18"/>
              </w:rPr>
              <w:t xml:space="preserve">Standard Ref.</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TR-01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PCI DSS Awareness Training for Store Personnel</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Deliver PCI DSS awareness training to all store personnel who interact with POS terminals, handle payment cards, or have access to payment systems. Training must cover: terminal tamper recognition, skimmer awareness, cardholder data handling prohibitions, and incident reporting. Train at onboarding and annually thereafter.</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12.6</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TR-02</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Security Awareness Training for IT/Integration Teams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Deliver payment-specific security training to all Sobeys IT personnel involved in the Global Payments integration (developers, network engineers, SOC analysts, system administrators). Training must cover: PCI DSS responsibilities, secure coding for payment systems, API security, and incident response.</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12.6.2</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TR-03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Social Engineering Awareness — Payment Focus</w:t>
            </w:r>
          </w:p>
        </w:tc>
        <w:tc>
          <w:tcPr>
            <w:tcW w:type="dxa" w:w="3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b w:val="false"/>
                <w:bCs w:val="false"/>
                <w:color w:val="1A1A1A"/>
                <w:sz w:val="18"/>
                <w:szCs w:val="18"/>
              </w:rPr>
              <w:t xml:space="preserve">Include payment-targeted social engineering scenarios in Sobeys' phishing simulation programme. Scenarios should include: fraudulent 'Global Payments support' calls requesting remote access, phishing emails targeting portal credentials, and pretexting attempts to obtain API keys.</w:t>
            </w:r>
          </w:p>
        </w:tc>
        <w:tc>
          <w:tcPr>
            <w:tcW w:type="dxa" w:w="800"/>
            <w:tcBorders>
              <w:top w:val="single" w:color="CCCCCC" w:sz="1"/>
              <w:left w:val="single" w:color="CCCCCC" w:sz="1"/>
              <w:bottom w:val="single" w:color="CCCCCC" w:sz="1"/>
              <w:right w:val="single" w:color="CCCCCC" w:sz="1"/>
            </w:tcBorders>
            <w:shd w:fill="FFD966"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Medium</w:t>
            </w:r>
          </w:p>
        </w:tc>
        <w:tc>
          <w:tcPr>
            <w:tcW w:type="dxa" w:w="1000"/>
            <w:tcBorders>
              <w:top w:val="single" w:color="CCCCCC" w:sz="1"/>
              <w:left w:val="single" w:color="CCCCCC" w:sz="1"/>
              <w:bottom w:val="single" w:color="CCCCCC" w:sz="1"/>
              <w:right w:val="single" w:color="CCCCCC" w:sz="1"/>
            </w:tcBorders>
            <w:shd w:fill="375623"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Ongoing</w:t>
            </w:r>
          </w:p>
        </w:tc>
        <w:tc>
          <w:tcPr>
            <w:tcW w:type="dxa" w:w="152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12.6.3 / NIST CSF PR.AT</w:t>
            </w:r>
          </w:p>
        </w:tc>
      </w:tr>
      <w:tr>
        <w:tc>
          <w:tcPr>
            <w:tcW w:type="dxa" w:w="640"/>
            <w:tcBorders>
              <w:top w:val="single" w:color="CCCCCC" w:sz="1"/>
              <w:left w:val="single" w:color="CCCCCC" w:sz="1"/>
              <w:bottom w:val="single" w:color="CCCCCC" w:sz="1"/>
              <w:right w:val="single" w:color="CCCCCC" w:sz="1"/>
            </w:tcBorders>
            <w:shd w:fill="D6E4F0" w:val="clear"/>
            <w:tcMar>
              <w:top w:type="dxa" w:w="70"/>
              <w:left w:type="dxa" w:w="80"/>
              <w:bottom w:type="dxa" w:w="70"/>
              <w:right w:type="dxa" w:w="80"/>
            </w:tcMar>
            <w:vAlign w:val="center"/>
          </w:tcPr>
          <w:p>
            <w:pPr>
              <w:jc w:val="center"/>
            </w:pPr>
            <w:r>
              <w:rPr>
                <w:rFonts w:ascii="Arial" w:cs="Arial" w:eastAsia="Arial" w:hAnsi="Arial"/>
                <w:b/>
                <w:bCs/>
                <w:color w:val="1F3864"/>
                <w:sz w:val="16"/>
                <w:szCs w:val="16"/>
              </w:rPr>
              <w:t xml:space="preserve">TR-04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bCs/>
                <w:color w:val="1A1A1A"/>
                <w:sz w:val="18"/>
                <w:szCs w:val="18"/>
              </w:rPr>
              <w:t xml:space="preserve">Incident Reporting Awareness</w:t>
            </w:r>
          </w:p>
        </w:tc>
        <w:tc>
          <w:tcPr>
            <w:tcW w:type="dxa" w:w="3500"/>
            <w:tcBorders>
              <w:top w:val="single" w:color="CCCCCC" w:sz="1"/>
              <w:left w:val="single" w:color="CCCCCC" w:sz="1"/>
              <w:bottom w:val="single" w:color="CCCCCC" w:sz="1"/>
              <w:right w:val="single" w:color="CCCCCC" w:sz="1"/>
            </w:tcBorders>
            <w:shd w:fill="EBF3FB" w:val="clear"/>
            <w:tcMar>
              <w:top w:type="dxa" w:w="70"/>
              <w:left w:type="dxa" w:w="100"/>
              <w:bottom w:type="dxa" w:w="70"/>
              <w:right w:type="dxa" w:w="100"/>
            </w:tcMar>
          </w:tcPr>
          <w:p>
            <w:r>
              <w:rPr>
                <w:rFonts w:ascii="Arial" w:cs="Arial" w:eastAsia="Arial" w:hAnsi="Arial"/>
                <w:b w:val="false"/>
                <w:bCs w:val="false"/>
                <w:color w:val="1A1A1A"/>
                <w:sz w:val="18"/>
                <w:szCs w:val="18"/>
              </w:rPr>
              <w:t xml:space="preserve">Train all personnel to recognise and report payment security incidents: suspicious terminal behaviour, unexpected POS errors, customer complaints about fraudulent charges, and unexpected system access requests. Establish a simple, well-known reporting channel (e.g., security hotline, email alias).</w:t>
            </w:r>
          </w:p>
        </w:tc>
        <w:tc>
          <w:tcPr>
            <w:tcW w:type="dxa" w:w="800"/>
            <w:tcBorders>
              <w:top w:val="single" w:color="CCCCCC" w:sz="1"/>
              <w:left w:val="single" w:color="CCCCCC" w:sz="1"/>
              <w:bottom w:val="single" w:color="CCCCCC" w:sz="1"/>
              <w:right w:val="single" w:color="CCCCCC" w:sz="1"/>
            </w:tcBorders>
            <w:shd w:fill="ED7D31" w:val="clear"/>
            <w:tcMar>
              <w:top w:type="dxa" w:w="70"/>
              <w:left w:type="dxa" w:w="80"/>
              <w:bottom w:type="dxa" w:w="70"/>
              <w:right w:type="dxa" w:w="80"/>
            </w:tcMar>
            <w:vAlign w:val="center"/>
          </w:tcPr>
          <w:p>
            <w:pPr>
              <w:jc w:val="center"/>
            </w:pPr>
            <w:r>
              <w:rPr>
                <w:rFonts w:ascii="Arial" w:cs="Arial" w:eastAsia="Arial" w:hAnsi="Arial"/>
                <w:b/>
                <w:bCs/>
                <w:color w:val="1A1A1A"/>
                <w:sz w:val="17"/>
                <w:szCs w:val="17"/>
              </w:rPr>
              <w:t xml:space="preserve">High</w:t>
            </w:r>
          </w:p>
        </w:tc>
        <w:tc>
          <w:tcPr>
            <w:tcW w:type="dxa" w:w="1000"/>
            <w:tcBorders>
              <w:top w:val="single" w:color="CCCCCC" w:sz="1"/>
              <w:left w:val="single" w:color="CCCCCC" w:sz="1"/>
              <w:bottom w:val="single" w:color="CCCCCC" w:sz="1"/>
              <w:right w:val="single" w:color="CCCCCC" w:sz="1"/>
            </w:tcBorders>
            <w:shd w:fill="C00000" w:val="clear"/>
            <w:tcMar>
              <w:top w:type="dxa" w:w="70"/>
              <w:left w:type="dxa" w:w="80"/>
              <w:bottom w:type="dxa" w:w="70"/>
              <w:right w:type="dxa" w:w="80"/>
            </w:tcMar>
            <w:vAlign w:val="center"/>
          </w:tcPr>
          <w:p>
            <w:pPr>
              <w:jc w:val="center"/>
            </w:pPr>
            <w:r>
              <w:rPr>
                <w:rFonts w:ascii="Arial" w:cs="Arial" w:eastAsia="Arial" w:hAnsi="Arial"/>
                <w:b/>
                <w:bCs/>
                <w:color w:val="FFFFFF"/>
                <w:sz w:val="17"/>
                <w:szCs w:val="17"/>
              </w:rPr>
              <w:t xml:space="preserve">Pre-Go-Live</w:t>
            </w:r>
          </w:p>
        </w:tc>
        <w:tc>
          <w:tcPr>
            <w:tcW w:type="dxa" w:w="1520"/>
            <w:tcBorders>
              <w:top w:val="single" w:color="CCCCCC" w:sz="1"/>
              <w:left w:val="single" w:color="CCCCCC" w:sz="1"/>
              <w:bottom w:val="single" w:color="CCCCCC" w:sz="1"/>
              <w:right w:val="single" w:color="CCCCCC" w:sz="1"/>
            </w:tcBorders>
            <w:shd w:fill="EBF3FB" w:val="clear"/>
            <w:tcMar>
              <w:top w:type="dxa" w:w="70"/>
              <w:left w:type="dxa" w:w="80"/>
              <w:bottom w:type="dxa" w:w="70"/>
              <w:right w:type="dxa" w:w="80"/>
            </w:tcMar>
            <w:vAlign w:val="center"/>
          </w:tcPr>
          <w:p>
            <w:pPr>
              <w:jc w:val="center"/>
            </w:pPr>
            <w:r>
              <w:rPr>
                <w:rFonts w:ascii="Arial" w:cs="Arial" w:eastAsia="Arial" w:hAnsi="Arial"/>
                <w:i/>
                <w:iCs/>
                <w:color w:val="595959"/>
                <w:sz w:val="16"/>
                <w:szCs w:val="16"/>
              </w:rPr>
              <w:t xml:space="preserve">PCI DSS Req 12.10.2</w:t>
            </w:r>
          </w:p>
        </w:tc>
      </w:tr>
    </w:tbl>
    <w:p>
      <w:pPr>
        <w:spacing w:after="60" w:before="60"/>
      </w:pPr>
      <w:r>
        <w:t xml:space="preserve"/>
      </w:r>
    </w:p>
    <w:p>
      <w:r>
        <w:br w:type="page"/>
      </w:r>
    </w:p>
    <w:sectPr>
      <w:footerReference w:type="default" r:id="rId7"/>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595959"/>
        <w:sz w:val="16"/>
        <w:szCs w:val="16"/>
      </w:rPr>
      <w:t xml:space="preserve">CONFIDENTIAL  |  Sobeys Inc. — Global Payments Security Requirements Register</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2026-05-25T14:25:56.117Z</dcterms:created>
  <dcterms:modified xsi:type="dcterms:W3CDTF">2026-05-25T14:25:56.118Z</dcterms:modified>
</cp:coreProperties>
</file>

<file path=docProps/custom.xml><?xml version="1.0" encoding="utf-8"?>
<Properties xmlns="http://schemas.openxmlformats.org/officeDocument/2006/custom-properties" xmlns:vt="http://schemas.openxmlformats.org/officeDocument/2006/docPropsVTypes"/>
</file>