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Borders>
              <w:top w:val="single" w:color="1F3864" w:sz="1"/>
              <w:left w:val="single" w:color="1F3864" w:sz="1"/>
              <w:bottom w:val="single" w:color="1F3864" w:sz="1"/>
              <w:right w:val="single" w:color="1F3864" w:sz="1"/>
            </w:tcBorders>
            <w:shd w:fill="1F3864" w:val="clear"/>
            <w:tcMar>
              <w:top w:type="dxa" w:w="600"/>
              <w:left w:type="dxa" w:w="600"/>
              <w:bottom w:type="dxa" w:w="600"/>
              <w:right w:type="dxa" w:w="600"/>
            </w:tcMar>
          </w:tcPr>
          <w:p>
            <w:pPr>
              <w:spacing w:after="120" w:before="0"/>
              <w:jc w:val="center"/>
            </w:pPr>
            <w:r>
              <w:rPr>
                <w:rFonts w:ascii="Arial" w:cs="Arial" w:eastAsia="Arial" w:hAnsi="Arial"/>
                <w:color w:val="9DC3E6"/>
                <w:sz w:val="22"/>
                <w:szCs w:val="22"/>
              </w:rPr>
              <w:t xml:space="preserve">SOBEYS INC.  |  MERCHANT ACQUIRER MIGRATION  |  GLOBAL PAYMENTS</w:t>
            </w:r>
          </w:p>
          <w:p>
            <w:pPr>
              <w:spacing w:after="60" w:before="60"/>
              <w:jc w:val="center"/>
            </w:pPr>
            <w:r>
              <w:rPr>
                <w:rFonts w:ascii="Arial" w:cs="Arial" w:eastAsia="Arial" w:hAnsi="Arial"/>
                <w:b/>
                <w:bCs/>
                <w:color w:val="FFFFFF"/>
                <w:sz w:val="52"/>
                <w:szCs w:val="52"/>
              </w:rPr>
              <w:t xml:space="preserve">Security Controls Register</w:t>
            </w:r>
          </w:p>
          <w:p>
            <w:pPr>
              <w:spacing w:after="60" w:before="60"/>
              <w:jc w:val="center"/>
            </w:pPr>
            <w:r>
              <w:rPr>
                <w:rFonts w:ascii="Arial" w:cs="Arial" w:eastAsia="Arial" w:hAnsi="Arial"/>
                <w:color w:val="FFFFFF"/>
                <w:sz w:val="30"/>
                <w:szCs w:val="30"/>
              </w:rPr>
              <w:t xml:space="preserve">Sobeys-Side Implementation Requirements</w:t>
            </w:r>
          </w:p>
          <w:p>
            <w:pPr>
              <w:spacing w:after="0" w:before="80"/>
              <w:jc w:val="center"/>
            </w:pPr>
            <w:r>
              <w:rPr>
                <w:rFonts w:ascii="Arial" w:cs="Arial" w:eastAsia="Arial" w:hAnsi="Arial"/>
                <w:i/>
                <w:iCs/>
                <w:color w:val="9DC3E6"/>
                <w:sz w:val="20"/>
                <w:szCs w:val="20"/>
              </w:rPr>
              <w:t xml:space="preserve">86 Controls  |  11 Security Domains  |  PCI DSS v4.0  |  Quebec Law 25  |  PIPEDA  |  ISO 27001  |  NIST CSF 2.0</w:t>
            </w:r>
          </w:p>
        </w:tc>
      </w:tr>
    </w:tbl>
    <w:p>
      <w:pPr>
        <w:spacing w:after="80" w:before="80"/>
      </w:pPr>
      <w:r>
        <w:t xml:space="preserve"> </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220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Document Classification:</w:t>
            </w:r>
          </w:p>
        </w:tc>
        <w:tc>
          <w:tcPr>
            <w:tcW w:type="dxa" w:w="1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CONFIDENTIAL — Internal Use Only</w:t>
            </w:r>
          </w:p>
        </w:tc>
      </w:tr>
      <w:tr>
        <w:tc>
          <w:tcPr>
            <w:tcW w:type="dxa" w:w="2200"/>
            <w:tcBorders>
              <w:top w:val="single" w:color="CCCCCC" w:sz="1"/>
              <w:left w:val="single" w:color="CCCCCC" w:sz="1"/>
              <w:bottom w:val="single" w:color="CCCCCC" w:sz="1"/>
              <w:right w:val="single" w:color="CCCCCC" w:sz="1"/>
            </w:tcBorders>
            <w:shd w:fill="C9DAEA" w:val="clear"/>
            <w:tcMar>
              <w:top w:type="dxa" w:w="80"/>
              <w:left w:type="dxa" w:w="120"/>
              <w:bottom w:type="dxa" w:w="80"/>
              <w:right w:type="dxa" w:w="120"/>
            </w:tcMar>
          </w:tcPr>
          <w:p>
            <w:r>
              <w:rPr>
                <w:rFonts w:ascii="Arial" w:cs="Arial" w:eastAsia="Arial" w:hAnsi="Arial"/>
                <w:b/>
                <w:bCs/>
                <w:color w:val="1F3864"/>
                <w:sz w:val="19"/>
                <w:szCs w:val="19"/>
              </w:rPr>
              <w:t xml:space="preserve">Prepared By:</w:t>
            </w:r>
          </w:p>
        </w:tc>
        <w:tc>
          <w:tcPr>
            <w:tcW w:type="dxa" w:w="1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Security Architecture Team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Date:</w:t>
            </w:r>
          </w:p>
        </w:tc>
        <w:tc>
          <w:tcPr>
            <w:tcW w:type="dxa" w:w="1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May 25, 2026</w:t>
            </w:r>
          </w:p>
        </w:tc>
      </w:tr>
      <w:tr>
        <w:tc>
          <w:tcPr>
            <w:tcW w:type="dxa" w:w="2200"/>
            <w:tcBorders>
              <w:top w:val="single" w:color="CCCCCC" w:sz="1"/>
              <w:left w:val="single" w:color="CCCCCC" w:sz="1"/>
              <w:bottom w:val="single" w:color="CCCCCC" w:sz="1"/>
              <w:right w:val="single" w:color="CCCCCC" w:sz="1"/>
            </w:tcBorders>
            <w:shd w:fill="C9DAEA" w:val="clear"/>
            <w:tcMar>
              <w:top w:type="dxa" w:w="80"/>
              <w:left w:type="dxa" w:w="120"/>
              <w:bottom w:type="dxa" w:w="80"/>
              <w:right w:type="dxa" w:w="120"/>
            </w:tcMar>
          </w:tcPr>
          <w:p>
            <w:r>
              <w:rPr>
                <w:rFonts w:ascii="Arial" w:cs="Arial" w:eastAsia="Arial" w:hAnsi="Arial"/>
                <w:b/>
                <w:bCs/>
                <w:color w:val="1F3864"/>
                <w:sz w:val="19"/>
                <w:szCs w:val="19"/>
              </w:rPr>
              <w:t xml:space="preserve">Purpose:</w:t>
            </w:r>
          </w:p>
        </w:tc>
        <w:tc>
          <w:tcPr>
            <w:tcW w:type="dxa" w:w="1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Defines all security controls that Sobeys must implement on its own systems, network, and processes for a secure Global Payments deployment.</w:t>
            </w:r>
          </w:p>
        </w:tc>
      </w:tr>
    </w:tbl>
    <w:p>
      <w:r>
        <w:br w:type="pag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500"/>
        <w:gridCol w:w="9200"/>
      </w:tblGrid>
      <w:tr>
        <w:trPr>
          <w:tblHeader/>
        </w:trPr>
        <w:tc>
          <w:tcPr>
            <w:tcW w:type="dxa" w:w="500"/>
            <w:tcBorders>
              <w:top w:val="single" w:color="1F3864" w:sz="1"/>
              <w:left w:val="single" w:color="1F3864" w:sz="1"/>
              <w:bottom w:val="single" w:color="1F3864" w:sz="1"/>
              <w:right w:val="single" w:color="1F3864" w:sz="1"/>
            </w:tcBorders>
            <w:shd w:fill="1F3864" w:val="clear"/>
            <w:tcMar>
              <w:top w:type="dxa" w:w="100"/>
              <w:left w:type="dxa" w:w="100"/>
              <w:bottom w:type="dxa" w:w="100"/>
              <w:right w:type="dxa" w:w="100"/>
            </w:tcMar>
            <w:vAlign w:val="center"/>
          </w:tcPr>
          <w:p>
            <w:pPr>
              <w:jc w:val="center"/>
            </w:pPr>
            <w:r>
              <w:rPr>
                <w:rFonts w:ascii="Arial" w:cs="Arial" w:eastAsia="Arial" w:hAnsi="Arial"/>
                <w:b/>
                <w:bCs/>
                <w:color w:val="FFFFFF"/>
                <w:sz w:val="19"/>
                <w:szCs w:val="19"/>
              </w:rPr>
              <w:t xml:space="preserve">S.No</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00"/>
              <w:bottom w:type="dxa" w:w="100"/>
              <w:right w:type="dxa" w:w="100"/>
            </w:tcMar>
            <w:vAlign w:val="center"/>
          </w:tcPr>
          <w:p>
            <w:pPr>
              <w:jc w:val="center"/>
            </w:pPr>
            <w:r>
              <w:rPr>
                <w:rFonts w:ascii="Arial" w:cs="Arial" w:eastAsia="Arial" w:hAnsi="Arial"/>
                <w:b/>
                <w:bCs/>
                <w:color w:val="FFFFFF"/>
                <w:sz w:val="19"/>
                <w:szCs w:val="19"/>
              </w:rPr>
              <w:t xml:space="preserve">Security Domain</w:t>
            </w:r>
          </w:p>
        </w:tc>
        <w:tc>
          <w:tcPr>
            <w:tcW w:type="dxa" w:w="2500"/>
            <w:tcBorders>
              <w:top w:val="single" w:color="1F3864" w:sz="1"/>
              <w:left w:val="single" w:color="1F3864" w:sz="1"/>
              <w:bottom w:val="single" w:color="1F3864" w:sz="1"/>
              <w:right w:val="single" w:color="1F3864" w:sz="1"/>
            </w:tcBorders>
            <w:shd w:fill="1F3864" w:val="clear"/>
            <w:tcMar>
              <w:top w:type="dxa" w:w="100"/>
              <w:left w:type="dxa" w:w="100"/>
              <w:bottom w:type="dxa" w:w="100"/>
              <w:right w:type="dxa" w:w="100"/>
            </w:tcMar>
            <w:vAlign w:val="center"/>
          </w:tcPr>
          <w:p>
            <w:pPr>
              <w:jc w:val="center"/>
            </w:pPr>
            <w:r>
              <w:rPr>
                <w:rFonts w:ascii="Arial" w:cs="Arial" w:eastAsia="Arial" w:hAnsi="Arial"/>
                <w:b/>
                <w:bCs/>
                <w:color w:val="FFFFFF"/>
                <w:sz w:val="19"/>
                <w:szCs w:val="19"/>
              </w:rPr>
              <w:t xml:space="preserve">Security Requirement Title</w:t>
            </w:r>
          </w:p>
        </w:tc>
        <w:tc>
          <w:tcPr>
            <w:tcW w:type="dxa" w:w="9200"/>
            <w:tcBorders>
              <w:top w:val="single" w:color="1F3864" w:sz="1"/>
              <w:left w:val="single" w:color="1F3864" w:sz="1"/>
              <w:bottom w:val="single" w:color="1F3864" w:sz="1"/>
              <w:right w:val="single" w:color="1F3864" w:sz="1"/>
            </w:tcBorders>
            <w:shd w:fill="1F3864" w:val="clear"/>
            <w:tcMar>
              <w:top w:type="dxa" w:w="100"/>
              <w:left w:type="dxa" w:w="100"/>
              <w:bottom w:type="dxa" w:w="100"/>
              <w:right w:type="dxa" w:w="100"/>
            </w:tcMar>
            <w:vAlign w:val="center"/>
          </w:tcPr>
          <w:p>
            <w:pPr>
              <w:jc w:val="center"/>
            </w:pPr>
            <w:r>
              <w:rPr>
                <w:rFonts w:ascii="Arial" w:cs="Arial" w:eastAsia="Arial" w:hAnsi="Arial"/>
                <w:b/>
                <w:bCs/>
                <w:color w:val="FFFFFF"/>
                <w:sz w:val="19"/>
                <w:szCs w:val="19"/>
              </w:rPr>
              <w:t xml:space="preserve">Description</w:t>
            </w:r>
          </w:p>
        </w:tc>
      </w:tr>
      <w:tr>
        <w:tc>
          <w:tcPr>
            <w:tcW w:type="dxa" w:w="14400"/>
            <w:gridSpan w:val="4"/>
            <w:tcBorders>
              <w:top w:val="single" w:color="1F3864" w:sz="1"/>
              <w:left w:val="single" w:color="1F3864" w:sz="1"/>
              <w:bottom w:val="single" w:color="2E75B6" w:sz="6"/>
              <w:right w:val="single" w:color="1F3864" w:sz="1"/>
            </w:tcBorders>
            <w:shd w:fill="1F3864" w:val="clear"/>
            <w:tcMar>
              <w:top w:type="dxa" w:w="90"/>
              <w:left w:type="dxa" w:w="140"/>
              <w:bottom w:type="dxa" w:w="90"/>
              <w:right w:type="dxa" w:w="140"/>
            </w:tcMar>
          </w:tcPr>
          <w:p>
            <w:r>
              <w:rPr>
                <w:rFonts w:ascii="Arial" w:cs="Arial" w:eastAsia="Arial" w:hAnsi="Arial"/>
                <w:b/>
                <w:bCs/>
                <w:color w:val="9DC3E6"/>
                <w:sz w:val="20"/>
                <w:szCs w:val="20"/>
              </w:rPr>
              <w:t xml:space="preserve">DOMAIN 01  —  </w:t>
            </w:r>
            <w:r>
              <w:rPr>
                <w:rFonts w:ascii="Arial" w:cs="Arial" w:eastAsia="Arial" w:hAnsi="Arial"/>
                <w:b/>
                <w:bCs/>
                <w:color w:val="FFFFFF"/>
                <w:sz w:val="20"/>
                <w:szCs w:val="20"/>
              </w:rPr>
              <w:t xml:space="preserve">NETWORK SECURITY &amp; SEGMENTATION</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Network Security &amp; Segmentation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POS VLAN Segmentation</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Isolate all POS terminals on a dedicated VLAN with no cross-traffic to the general store LAN, guest Wi-Fi, or corporate network. Apply a deny-all default firewall policy with explicit allow rules for Global Payments API destination IPs only.</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Network Security &amp; Segmentation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Outbound Firewall Allowlist to Global Payments</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Create explicit outbound firewall rules permitting HTTPS (TCP 443) traffic only to documented Global Payments API IP ranges from the POS VLAN. All other outbound destinations must be denied. Maintain the allowlist in the configuration management system.</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Network Security &amp; Segmentation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Inbound Firewall Rules for Webhook Callbacks</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Restrict inbound TCP 443 connections to the Sobeys webhook/callback endpoint to Global Payments' published source IP ranges only. Deny all other inbound connections to the callback endpoint.</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Network Security &amp; Segmentation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Network Intrusion Detection (NIDS)</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Deploy NIDS sensors at the POS VLAN perimeter and internet egress. Configure rules to alert on anomalous payment data flows, unexpected outbound destinations, and port scans originating from the POS VLAN.</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Network Security &amp; Segmentation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Disable TLS 1.0 and 1.1 at All Boundaries</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Configure all network termination points (load balancers, reverse proxies, firewalls with TLS inspection) to reject TLS 1.0 and TLS 1.1. Enforce TLS 1.2 minimum with TLS 1.3 preferred. Validate with an SSL scan tool before go-live.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Network Security &amp; Segmentation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Prohibit Split-Tunnel VPN on POS Network</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Ensure no split-tunnel VPN configurations exist on any device in the POS VLAN. All payment traffic must route through Sobeys' monitored network path with no direct internet breakout that bypasses security controls.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Network Security &amp; Segmentation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DMZ for Webhook Receiver Endpoint</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Host the Global Payments webhook/callback receiver in a dedicated DMZ zone separate from internal application servers. The DMZ must only permit inbound traffic from Global Payments source IPs and forward only validated, HMAC-signed payloads to internal systems.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Network Security &amp; Segmentation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SFTP Server Hardening for Settlement Files</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Deploy a hardened SFTP server in the DMZ for settlement batch file exchange. Configure key-based authentication only (disable password authentication). Restrict login to Global Payments' registered public key and log all connection attempts.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Network Security &amp; Segmentation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Quarterly Firewall Rule Review</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Conduct a formal quarterly review of all firewall rules affecting the POS VLAN and payment processing paths. Remove stale or overly permissive rules and document all findings and changes in the change management system.</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10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Network Security &amp; Segmentation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DDoS Mitigation for Internet-Exposed Endpoints</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Protect Sobeys' internet-facing webhook and API endpoints with volumetric and application-layer DDoS mitigation (e.g., Cloudflare, Azure Front Door, or equivalent). Rate-limit inbound requests from any single source IP.</w:t>
            </w:r>
          </w:p>
        </w:tc>
      </w:tr>
      <w:tr>
        <w:tc>
          <w:tcPr>
            <w:tcW w:type="dxa" w:w="14400"/>
            <w:gridSpan w:val="4"/>
            <w:tcBorders>
              <w:top w:val="single" w:color="2E4057" w:sz="1"/>
              <w:left w:val="single" w:color="2E4057" w:sz="1"/>
              <w:bottom w:val="single" w:color="2E75B6" w:sz="6"/>
              <w:right w:val="single" w:color="2E4057" w:sz="1"/>
            </w:tcBorders>
            <w:shd w:fill="2E4057" w:val="clear"/>
            <w:tcMar>
              <w:top w:type="dxa" w:w="90"/>
              <w:left w:type="dxa" w:w="140"/>
              <w:bottom w:type="dxa" w:w="90"/>
              <w:right w:type="dxa" w:w="140"/>
            </w:tcMar>
          </w:tcPr>
          <w:p>
            <w:r>
              <w:rPr>
                <w:rFonts w:ascii="Arial" w:cs="Arial" w:eastAsia="Arial" w:hAnsi="Arial"/>
                <w:b/>
                <w:bCs/>
                <w:color w:val="9DC3E6"/>
                <w:sz w:val="20"/>
                <w:szCs w:val="20"/>
              </w:rPr>
              <w:t xml:space="preserve">DOMAIN 02  —  </w:t>
            </w:r>
            <w:r>
              <w:rPr>
                <w:rFonts w:ascii="Arial" w:cs="Arial" w:eastAsia="Arial" w:hAnsi="Arial"/>
                <w:b/>
                <w:bCs/>
                <w:color w:val="FFFFFF"/>
                <w:sz w:val="20"/>
                <w:szCs w:val="20"/>
              </w:rPr>
              <w:t xml:space="preserve">ENDPOINT &amp; POS TERMINAL SECURITY</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Endpoint &amp; POS Terminal Security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P2PE-Certified Terminal Deployment</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Deploy only PCI SSC-listed P2PE validated payment terminals. Cross-reference each terminal model number against the PCI SSC P2PE Solutions List before procurement and retain purchase records and device serial numbers in an asset register.</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12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Endpoint &amp; POS Terminal Security</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Terminal Tamper Inspection Programme</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Implement a documented POS terminal tamper inspection process. Train store personnel to inspect terminal screens, card-entry slots, PIN pads, and cables at shift start. Maintain a daily inspection log and report anomalies immediately to Security Operations.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Endpoint &amp; POS Terminal Security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Terminal Asset Register and Serial Number Tracking</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Maintain a complete asset register for all POS terminals including serial number, terminal ID, store location, installation date, and Global Payments terminal ID. Audit the register against physical inventory quarterly.</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14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Endpoint &amp; POS Terminal Security</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POS Firmware Patch Management</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Establish a firmware patch management process for all POS terminals. Apply critical security patches within 30 days of release and all other patches within 90 days. Track patch status in the asset register and coordinate with Global Payments for patches affecting the payment application.</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Endpoint &amp; POS Terminal Security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Anti-Malware on Back-Office POS Systems</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Deploy anti-malware with real-time scanning on all back-office servers, management workstations, and systems that connect to the POS VLAN. Ensure signatures are updated at least daily and alert on any detection in the POS environment.</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16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Endpoint &amp; POS Terminal Security</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Disable Unnecessary Services on POS Systems</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Harden all POS terminal management systems by disabling unnecessary services, open ports, and protocols. Apply the CIS Benchmark for the relevant OS, remove or disable default accounts, and change all default passwords before deployment.</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Endpoint &amp; POS Terminal Security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Terminal Remote Management Security</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If POS terminals are managed remotely, ensure remote management traffic is encrypted, MFA-protected, and restricted to the terminal management VLAN. Log all remote management sessions.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18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Endpoint &amp; POS Terminal Security</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Card Data Discovery Scan</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Run a card data discovery tool (e.g., Spirion or Ground Labs Card Recon) across all Sobeys systems — POS, back-office, file shares, databases — before go-live and quarterly thereafter. Remediate any discovered cleartext PAN immediately.</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19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Endpoint &amp; POS Terminal Security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Secure Terminal Decommissioning</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Enforce a terminal decommission SOP: factory reset, cryptographic wipe, tamper-void the device, and return to Global Payments or physically destroy. Obtain a destruction certificate, remove from the asset register, and confirm no residual data via a post-wipe scan.</w:t>
            </w:r>
          </w:p>
        </w:tc>
      </w:tr>
      <w:tr>
        <w:tc>
          <w:tcPr>
            <w:tcW w:type="dxa" w:w="14400"/>
            <w:gridSpan w:val="4"/>
            <w:tcBorders>
              <w:top w:val="single" w:color="17375E" w:sz="1"/>
              <w:left w:val="single" w:color="17375E" w:sz="1"/>
              <w:bottom w:val="single" w:color="2E75B6" w:sz="6"/>
              <w:right w:val="single" w:color="17375E" w:sz="1"/>
            </w:tcBorders>
            <w:shd w:fill="17375E" w:val="clear"/>
            <w:tcMar>
              <w:top w:type="dxa" w:w="90"/>
              <w:left w:type="dxa" w:w="140"/>
              <w:bottom w:type="dxa" w:w="90"/>
              <w:right w:type="dxa" w:w="140"/>
            </w:tcMar>
          </w:tcPr>
          <w:p>
            <w:r>
              <w:rPr>
                <w:rFonts w:ascii="Arial" w:cs="Arial" w:eastAsia="Arial" w:hAnsi="Arial"/>
                <w:b/>
                <w:bCs/>
                <w:color w:val="9DC3E6"/>
                <w:sz w:val="20"/>
                <w:szCs w:val="20"/>
              </w:rPr>
              <w:t xml:space="preserve">DOMAIN 03  —  </w:t>
            </w:r>
            <w:r>
              <w:rPr>
                <w:rFonts w:ascii="Arial" w:cs="Arial" w:eastAsia="Arial" w:hAnsi="Arial"/>
                <w:b/>
                <w:bCs/>
                <w:color w:val="FFFFFF"/>
                <w:sz w:val="20"/>
                <w:szCs w:val="20"/>
              </w:rPr>
              <w:t xml:space="preserve">IDENTITY &amp; ACCESS MANAGEMENT</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20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Identity &amp; Access Management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Mandatory MFA for Global Payments Portal</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Enforce multi-factor authentication (TOTP, FIDO2, or push notification) for all Sobeys user accounts on the Global Payments merchant portal. MFA must be mandatory, not optional. Validate enforcement in portal settings before provisioning any users.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Identity &amp; Access Management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Least-Privilege Role Assignment on Portal</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Map each Sobeys job function to the minimum required portal role (e.g., reporting-only, dispute manager, administrator). Do not assign administrator roles to operational users. Document the role matrix and review quarterly.</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22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Identity &amp; Access Management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Joiner / Mover / Leaver (JML) Process for Portal Users</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Implement a formal JML process integrated with Sobeys' HR system. New joiners receive access within their role only on day one. Role changes trigger immediate access modification. Leavers must have portal access revoked within 24 hours of departure.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Identity &amp; Access Management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API Credential Management in Secrets Manager</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Store all Global Payments API keys and HMAC secrets in an enterprise secrets manager (e.g., HashiCorp Vault, Azure Key Vault, or AWS Secrets Manager). Never store credentials in source code, configuration files, or environment variables in plaintext. Implement automated rotation every 90 days.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24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Identity &amp; Access Management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API Key Rotation on Personnel Change</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Immediately rotate all API credentials when any Sobeys personnel with knowledge of those credentials departs or changes role. Treat API credentials as passwords subject to the same lifecycle controls.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Identity &amp; Access Management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Privileged Access Management (PAM) for Payment Systems</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Route all privileged access to payment-adjacent systems (POS management servers, SFTP, integration middleware, secrets manager) through Sobeys' PAM solution. No standing privileged sessions permitted. Session recording is mandatory for all privileged sessions.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26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Identity &amp; Access Management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Shared Account Prohibition</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Prohibit shared or generic accounts for any system involved in payment processing. Each user must have a unique, individually attributable account. Service accounts must be named, documented, and tied to a specific technical function.</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27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Identity &amp; Access Management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Portal Session Timeout Enforcement</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Configure the Global Payments merchant portal and any Sobeys-built admin interfaces to enforce an idle session timeout of 15 minutes maximum. Re-authentication including MFA must be required after timeout.</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28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Identity &amp; Access Management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Quarterly Access Review and Recertification</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Conduct formal quarterly access reviews of all Sobeys user accounts on the Global Payments portal, API credential holders, and privileged access accounts on payment systems. Managers must certify that each account holder still requires their current level of access.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29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Identity &amp; Access Management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SAML/SSO Integration with Enterprise IdP</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Integrate the Global Payments merchant portal with Sobeys' enterprise Identity Provider (Entra ID or Okta) via SAML 2.0 or OIDC so that portal access inherits Sobeys' centrally managed MFA, conditional access policies, and JML lifecycle controls.</w:t>
            </w:r>
          </w:p>
        </w:tc>
      </w:tr>
      <w:tr>
        <w:tc>
          <w:tcPr>
            <w:tcW w:type="dxa" w:w="14400"/>
            <w:gridSpan w:val="4"/>
            <w:tcBorders>
              <w:top w:val="single" w:color="203864" w:sz="1"/>
              <w:left w:val="single" w:color="203864" w:sz="1"/>
              <w:bottom w:val="single" w:color="2E75B6" w:sz="6"/>
              <w:right w:val="single" w:color="203864" w:sz="1"/>
            </w:tcBorders>
            <w:shd w:fill="203864" w:val="clear"/>
            <w:tcMar>
              <w:top w:type="dxa" w:w="90"/>
              <w:left w:type="dxa" w:w="140"/>
              <w:bottom w:type="dxa" w:w="90"/>
              <w:right w:type="dxa" w:w="140"/>
            </w:tcMar>
          </w:tcPr>
          <w:p>
            <w:r>
              <w:rPr>
                <w:rFonts w:ascii="Arial" w:cs="Arial" w:eastAsia="Arial" w:hAnsi="Arial"/>
                <w:b/>
                <w:bCs/>
                <w:color w:val="9DC3E6"/>
                <w:sz w:val="20"/>
                <w:szCs w:val="20"/>
              </w:rPr>
              <w:t xml:space="preserve">DOMAIN 04  —  </w:t>
            </w:r>
            <w:r>
              <w:rPr>
                <w:rFonts w:ascii="Arial" w:cs="Arial" w:eastAsia="Arial" w:hAnsi="Arial"/>
                <w:b/>
                <w:bCs/>
                <w:color w:val="FFFFFF"/>
                <w:sz w:val="20"/>
                <w:szCs w:val="20"/>
              </w:rPr>
              <w:t xml:space="preserve">APPLICATION &amp; INTEGRATION SECURITY</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30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Application &amp; Integration Security</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Webhook HMAC Signature Validation</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Validate the HMAC-SHA256 signature on every inbound webhook payload received from Global Payments before processing. Reject and alert on any payload with a missing, invalid, or expired signature. Log all validation failures to the SIEM.</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31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Application &amp; Integration Security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OWASP API Security Review of Integration Code</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Conduct a structured OWASP API Security Top 10 code review of all Sobeys-developed integration middleware before go-live, covering Broken Object Level Auth, Broken Auth, Excessive Data Exposure, Rate Limiting, BOLA, SSRF, and Injection. Remediate all High and Critical findings before cutover.</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32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Application &amp; Integration Security</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TLS Certificate Pinning on POS Terminals</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Implement certificate pinning in POS terminal firmware to prevent man-in-the-middle attacks. Terminals should only accept TLS connections to Global Payments API endpoints presenting a certificate matching the pinned certificate fingerprint or public key.</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33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Application &amp; Integration Security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Input Validation on API Response Handling</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Validate and sanitise all data received in Global Payments API responses before processing in Sobeys' systems. Reject unexpected fields, enforce strict schema validation (JSON Schema or equivalent), and never pass unvalidated response data into database queries or downstream systems.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34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Application &amp; Integration Security</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Idempotency Key Implementation</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Implement client-side idempotency keys on all payment API requests to prevent duplicate transaction processing on network retry or timeout. Store idempotency keys with a TTL matching the Global Payments duplicate-check window and log retried requests separately from originals.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35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Application &amp; Integration Security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SDK Dependency Monitoring and SBOM</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Maintain a Software Bill of Materials (SBOM) for all Global Payments SDKs and their transitive dependencies. Integrate automated vulnerability scanning (e.g., Dependabot, Snyk, or Trivy) in the CI/CD pipeline. Critical SDK CVEs must be patched within 30 days of disclosure.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36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Application &amp; Integration Security</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No Secrets in Source Code or Application Logs</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Enforce via CI/CD pipeline scanning (e.g., truffleHog or GitGuardian) that no API keys, HMAC secrets, or credentials are committed to source code repositories. Configure log scrubbing to ensure API keys, PANs, and tokens are never written to application logs in any form.</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37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Application &amp; Integration Security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Error Handling — No Sensitive Data Leakage</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Configure all Sobeys integration middleware to return generic error messages to clients. Never expose internal stack traces, API keys, token values, partial PANs, or SQL error details in API error responses or in logs accessible outside the CDE.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38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Application &amp; Integration Security</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Pre-Go-Live Penetration Test of Integration Layer</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Conduct a payment-focused application penetration test covering the Sobeys integration middleware, POS communication path, webhook receiver, and admin portal before go-live. Remediate all Critical and High findings and retain the test report and remediation evidence for PCI DSS audit purposes.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39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Application &amp; Integration Security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Change Management for Integration Updates</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All changes to the Global Payments integration code, SDK version updates, API endpoint changes, and firewall rule modifications must follow Sobeys' formal change management process. A security review gate is mandatory for any change affecting the CDE.</w:t>
            </w:r>
          </w:p>
        </w:tc>
      </w:tr>
      <w:tr>
        <w:tc>
          <w:tcPr>
            <w:tcW w:type="dxa" w:w="14400"/>
            <w:gridSpan w:val="4"/>
            <w:tcBorders>
              <w:top w:val="single" w:color="1F4E79" w:sz="1"/>
              <w:left w:val="single" w:color="1F4E79" w:sz="1"/>
              <w:bottom w:val="single" w:color="2E75B6" w:sz="6"/>
              <w:right w:val="single" w:color="1F4E79" w:sz="1"/>
            </w:tcBorders>
            <w:shd w:fill="1F4E79" w:val="clear"/>
            <w:tcMar>
              <w:top w:type="dxa" w:w="90"/>
              <w:left w:type="dxa" w:w="140"/>
              <w:bottom w:type="dxa" w:w="90"/>
              <w:right w:type="dxa" w:w="140"/>
            </w:tcMar>
          </w:tcPr>
          <w:p>
            <w:r>
              <w:rPr>
                <w:rFonts w:ascii="Arial" w:cs="Arial" w:eastAsia="Arial" w:hAnsi="Arial"/>
                <w:b/>
                <w:bCs/>
                <w:color w:val="9DC3E6"/>
                <w:sz w:val="20"/>
                <w:szCs w:val="20"/>
              </w:rPr>
              <w:t xml:space="preserve">DOMAIN 05  —  </w:t>
            </w:r>
            <w:r>
              <w:rPr>
                <w:rFonts w:ascii="Arial" w:cs="Arial" w:eastAsia="Arial" w:hAnsi="Arial"/>
                <w:b/>
                <w:bCs/>
                <w:color w:val="FFFFFF"/>
                <w:sz w:val="20"/>
                <w:szCs w:val="20"/>
              </w:rPr>
              <w:t xml:space="preserve">DATA PROTECTION</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40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Data Protection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Cardholder Data Discovery and Elimination</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Run a card data discovery tool across all Sobeys systems (databases, file shares, POS management systems, log archives) before go-live and quarterly thereafter. Any discovered cleartext PAN must be immediately deleted or tokenised. Zero-tolerance policy for PAN outside the defined CDE boundary.</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41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Data Protection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Token-Only Storage in Sobeys Systems</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Enforce a policy that Sobeys' applications, databases, and logs store only Global Payments-issued acquirer tokens — never PANs, track data, or CVV2. Validate through code review and database scanning before go-live and include in application security standards.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42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Data Protection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Encryption of Sobeys-Side Transaction Data at Rest</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Encrypt all transaction records stored in Sobeys' databases (tokens, amounts, merchant IDs, timestamps) using AES-256 or equivalent. Encryption keys must be stored separately from the data in an HSM or managed key service with documented key management procedures.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43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Data Protection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TLS 1.3 Enforcement on All Payment Data Paths</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Enforce TLS 1.3 (TLS 1.2 minimum) on all data paths carrying payment data: POS terminal to internet egress, integration middleware to Global Payments API, SFTP settlement transfers, and the webhook receiver. Validate with an external SSL scan before go-live and after any network change.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44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Data Protection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Log Sanitisation — No PAN or Token in Logs</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Implement log scrubbing in all Sobeys applications touching payment data. Never log full PANs, full tokens, CVV2, HMAC secrets, or API keys. Acceptable log content: last 4 digits of PAN, masked token, transaction ID, and error codes.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45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Data Protection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Encryption Key Lifecycle Management</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Define and enforce an encryption key lifecycle policy covering key generation (HSM or FIPS-validated source), rotation schedule (annually or upon compromise), access control (dual control and split knowledge for custodians), and secure destruction procedures.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46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Data Protection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Data Minimisation in API Requests</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Configure Sobeys' integration middleware to send only the minimum required data fields to Global Payments. Do not pass loyalty identifiers, customer names, email addresses, or any data beyond what is required for payment authorisation unless explicitly required and Law 25-compliant.</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47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Data Protection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PAN Masking in All Reporting and Display</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Ensure all Sobeys-built reporting dashboards and customer-facing UIs display only masked PAN (e.g., **** **** **** 1234). Configure any BI tools or analytics platforms connected to transaction data to enforce column-level masking. Validate before go-live.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48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Data Protection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Automated Data Retention and Purge</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Implement automated retention and purge controls: tokens and transaction records purged at 18 months; settlement records archived for 7 years; fraud metadata anonymised at 12 months. The purge job must produce a deletion log as audit evidence.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49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Data Protection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Backup Encryption and Canadian Residency</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Ensure all backups of Sobeys-side payment data are encrypted (AES-256) before transmission to backup storage. Backup storage must be located in Canada. Restrict backup access to authorised personnel, test restoration quarterly, and purge backups per the defined retention schedule.</w:t>
            </w:r>
          </w:p>
        </w:tc>
      </w:tr>
      <w:tr>
        <w:tc>
          <w:tcPr>
            <w:tcW w:type="dxa" w:w="14400"/>
            <w:gridSpan w:val="4"/>
            <w:tcBorders>
              <w:top w:val="single" w:color="243F60" w:sz="1"/>
              <w:left w:val="single" w:color="243F60" w:sz="1"/>
              <w:bottom w:val="single" w:color="2E75B6" w:sz="6"/>
              <w:right w:val="single" w:color="243F60" w:sz="1"/>
            </w:tcBorders>
            <w:shd w:fill="243F60" w:val="clear"/>
            <w:tcMar>
              <w:top w:type="dxa" w:w="90"/>
              <w:left w:type="dxa" w:w="140"/>
              <w:bottom w:type="dxa" w:w="90"/>
              <w:right w:type="dxa" w:w="140"/>
            </w:tcMar>
          </w:tcPr>
          <w:p>
            <w:r>
              <w:rPr>
                <w:rFonts w:ascii="Arial" w:cs="Arial" w:eastAsia="Arial" w:hAnsi="Arial"/>
                <w:b/>
                <w:bCs/>
                <w:color w:val="9DC3E6"/>
                <w:sz w:val="20"/>
                <w:szCs w:val="20"/>
              </w:rPr>
              <w:t xml:space="preserve">DOMAIN 06  —  </w:t>
            </w:r>
            <w:r>
              <w:rPr>
                <w:rFonts w:ascii="Arial" w:cs="Arial" w:eastAsia="Arial" w:hAnsi="Arial"/>
                <w:b/>
                <w:bCs/>
                <w:color w:val="FFFFFF"/>
                <w:sz w:val="20"/>
                <w:szCs w:val="20"/>
              </w:rPr>
              <w:t xml:space="preserve">LOGGING, MONITORING &amp; INCIDENT RESPONSE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50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Logging, Monitoring &amp; Incident Response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SIEM Integration for Payment Events</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Integrate Global Payments log export (API or syslog) into Sobeys' SIEM platform. Configure ingestion of API access logs, fraud alert events, authentication events, and settlement file transfer logs. Validate log flow before go-live and ensure 12 months of online log retention in the SIEM.</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51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Logging, Monitoring &amp; Incident Response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Centralised Logging for All Payment Components</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Aggregate logs from all Sobeys-owned payment components into the SIEM: POS management system, integration middleware, SFTP server, webhook receiver, API gateway, firewall, and POS VLAN switches. Logs must include NTP-synchronised timestamp, source IP, user ID, and event outcome.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52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Logging, Monitoring &amp; Incident Response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Real-Time Alerting on Payment Security Events</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Configure SIEM alert rules for: failed Global Payments API authentication, webhook signature validation failure, outbound POS VLAN connection to non-allowlisted IP, card data discovery alerts, POS terminal tamper events, failed SFTP logins, and portal admin account changes. Critical alerts must page the SOC within 5 minutes.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53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Logging, Monitoring &amp; Incident Response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Log Integrity Protection</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Implement tamper-evident log storage using a write-once (WORM) log archive or cryptographic hash chaining. Logs must not be modifiable by the systems that generate them. Validate log integrity controls before go-live.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54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Logging, Monitoring &amp; Incident Response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NTP Time Synchronisation Across Payment Systems</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Synchronise all Sobeys systems generating payment logs (POS terminals, middleware servers, SFTP, firewall, SIEM) to a consistent, reliable NTP source. Alert if time discrepancy between payment components exceeds 60 seconds, as accurate timestamps are essential for forensic correlation.</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Logging, Monitoring &amp; Incident Response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Fraud Alert Integration into SOC Workflow</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Configure Global Payments fraud alerts (high-risk transaction flags, velocity alerts, device anomalies) to flow into Sobeys' SOC incident management platform. Define response playbooks for each fraud alert type with an SLA of SOC acknowledgement within 15 minutes.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56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Logging, Monitoring &amp; Incident Response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Payment-Specific Incident Response Plan</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Develop and maintain a payment-specific IR plan covering: suspected PAN compromise, POS terminal tampering, API credential compromise, settlement file interception, and breach of the Global Payments integration. The IR plan must include Global Payments escalation contacts, card brand notification paths, and OPC/CAI reporting procedures.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57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Logging, Monitoring &amp; Incident Response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Annual Payment IR Tabletop Exercise</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Conduct an annual tabletop exercise simulating a payment data breach scenario. Participants must include Security, IT Operations, Legal, Privacy Officer, Communications, and Finance. Use the exercise to test the notification SLAs committed to in the Global Payments merchant agreement.</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58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Logging, Monitoring &amp; Incident Response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File Integrity Monitoring (FIM) on Payment Systems</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Deploy FIM on all Sobeys servers in the payment data path (integration middleware, POS management, SFTP). Alert on unexpected changes to payment application files, configuration files, and scripts. Investigate all FIM alerts within 24 hours.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59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Logging, Monitoring &amp; Incident Response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Log Archive Retention — 24 Months Total</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Retain payment-related logs for 24 months total: 12 months immediately available in SIEM hot storage and 12 months archived in cold storage. Purge after 24 months per the data retention schedule. Confirm SIEM storage capacity supports 12-month online retention before go-live.</w:t>
            </w:r>
          </w:p>
        </w:tc>
      </w:tr>
      <w:tr>
        <w:tc>
          <w:tcPr>
            <w:tcW w:type="dxa" w:w="14400"/>
            <w:gridSpan w:val="4"/>
            <w:tcBorders>
              <w:top w:val="single" w:color="184A6B" w:sz="1"/>
              <w:left w:val="single" w:color="184A6B" w:sz="1"/>
              <w:bottom w:val="single" w:color="2E75B6" w:sz="6"/>
              <w:right w:val="single" w:color="184A6B" w:sz="1"/>
            </w:tcBorders>
            <w:shd w:fill="184A6B" w:val="clear"/>
            <w:tcMar>
              <w:top w:type="dxa" w:w="90"/>
              <w:left w:type="dxa" w:w="140"/>
              <w:bottom w:type="dxa" w:w="90"/>
              <w:right w:type="dxa" w:w="140"/>
            </w:tcMar>
          </w:tcPr>
          <w:p>
            <w:r>
              <w:rPr>
                <w:rFonts w:ascii="Arial" w:cs="Arial" w:eastAsia="Arial" w:hAnsi="Arial"/>
                <w:b/>
                <w:bCs/>
                <w:color w:val="9DC3E6"/>
                <w:sz w:val="20"/>
                <w:szCs w:val="20"/>
              </w:rPr>
              <w:t xml:space="preserve">DOMAIN 07  —  </w:t>
            </w:r>
            <w:r>
              <w:rPr>
                <w:rFonts w:ascii="Arial" w:cs="Arial" w:eastAsia="Arial" w:hAnsi="Arial"/>
                <w:b/>
                <w:bCs/>
                <w:color w:val="FFFFFF"/>
                <w:sz w:val="20"/>
                <w:szCs w:val="20"/>
              </w:rPr>
              <w:t xml:space="preserve">PHYSICAL SECURITY</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60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Physical Security</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Restricted Physical Access to POS Terminals</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Restrict physical access to POS terminals to authorised store personnel only. POS terminals must not be accessible to customers for any purpose other than card entry. Position terminals so the PIN pad is shielded from camera line-of-sight during PIN entry.</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61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Physical Security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CCTV Coverage of POS Terminal Areas</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Ensure CCTV cameras cover all POS terminal locations. Camera positioning must capture persons interacting with terminals without capturing PIN entry. Retain CCTV footage for a minimum of 90 days and review footage when a tamper incident is reported.</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62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Physical Security</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Restricted Access to Network Equipment in CDE</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Physically secure all network equipment in the POS VLAN (switches, patch panels, routers) in locked cabinets or cages. Restrict access to authorised IT personnel only, maintain an access log, and review the log quarterly.</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63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Physical Security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Media Handling and Secure Disposal</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Store all physical media containing payment data (hard drives, USB drives, backup tapes) in a locked, access-controlled environment. Disposal requires NIST 800-88 compliant destruction (shredding or degaussing) with destruction certificates obtained and retained.</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64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Physical Security</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Visitor Access Control in CDE Areas</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Implement visitor management in any area classified as CDE (e.g., server rooms, network closets hosting POS VLAN equipment). Visitors must be escorted at all times. Log visitor identity, purpose, and access time. Visitor badges must be visually distinct from employee badges.</w:t>
            </w:r>
          </w:p>
        </w:tc>
      </w:tr>
      <w:tr>
        <w:tc>
          <w:tcPr>
            <w:tcW w:type="dxa" w:w="14400"/>
            <w:gridSpan w:val="4"/>
            <w:tcBorders>
              <w:top w:val="single" w:color="2C4770" w:sz="1"/>
              <w:left w:val="single" w:color="2C4770" w:sz="1"/>
              <w:bottom w:val="single" w:color="2E75B6" w:sz="6"/>
              <w:right w:val="single" w:color="2C4770" w:sz="1"/>
            </w:tcBorders>
            <w:shd w:fill="2C4770" w:val="clear"/>
            <w:tcMar>
              <w:top w:type="dxa" w:w="90"/>
              <w:left w:type="dxa" w:w="140"/>
              <w:bottom w:type="dxa" w:w="90"/>
              <w:right w:type="dxa" w:w="140"/>
            </w:tcMar>
          </w:tcPr>
          <w:p>
            <w:r>
              <w:rPr>
                <w:rFonts w:ascii="Arial" w:cs="Arial" w:eastAsia="Arial" w:hAnsi="Arial"/>
                <w:b/>
                <w:bCs/>
                <w:color w:val="9DC3E6"/>
                <w:sz w:val="20"/>
                <w:szCs w:val="20"/>
              </w:rPr>
              <w:t xml:space="preserve">DOMAIN 08  —  </w:t>
            </w:r>
            <w:r>
              <w:rPr>
                <w:rFonts w:ascii="Arial" w:cs="Arial" w:eastAsia="Arial" w:hAnsi="Arial"/>
                <w:b/>
                <w:bCs/>
                <w:color w:val="FFFFFF"/>
                <w:sz w:val="20"/>
                <w:szCs w:val="20"/>
              </w:rPr>
              <w:t xml:space="preserve">VULNERABILITY MANAGEMENT &amp; PATCHING</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65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Vulnerability Management &amp; Patching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Quarterly External Vulnerability Scan (ASV)</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Conduct quarterly external vulnerability scans of all Sobeys internet-facing endpoints in the payment data path (webhook receiver, SFTP server, integration API gateway) using an Approved Scanning Vendor (ASV). Remediate all High and Critical findings before the next scan cycle.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66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Vulnerability Management &amp; Patching</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Quarterly Internal Vulnerability Scan</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Conduct quarterly internal vulnerability scans of all Sobeys internal systems in the CDE (POS management servers, integration middleware, database servers, SFTP). Remediate critical findings within 30 days and high findings within 90 days.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67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Vulnerability Management &amp; Patching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Annual Penetration Test of CDE Components</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Conduct an annual network and application penetration test covering all CDE components including the Global Payments integration layer. The test must be performed by a qualified internal team or approved third party. Remediate all Critical and High findings before the next test cycle.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68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Vulnerability Management &amp; Patching</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Critical Patch SLA — 30 Days</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Apply critical security patches (CVSS 9.0+) to all systems in the payment data path within 30 days of vendor release. Apply high-severity patches (CVSS 7.0–8.9) within 90 days. Track patch compliance in a vulnerability management platform. Exceptions require CISO sign-off and a documented compensating control.</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69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Vulnerability Management &amp; Patching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Vulnerability Monitoring for Integration Dependencies</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Track CVEs in all third-party libraries used in the Global Payments integration (SDKs, HTTP clients, JSON parsers, crypto libraries). Use automated tools (Snyk or OWASP Dependency-Check) in the CI/CD pipeline. Critical library vulnerabilities must be patched within 30 days of disclosure.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70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Vulnerability Management &amp; Patching</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CIS Benchmark Hardening and Drift Detection</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Apply CIS Security Benchmark hardening to all Sobeys servers in the payment data path. Maintain a configuration baseline and use automated compliance scanning (e.g., Tenable.sc or Qualys) to detect configuration drift. Any drift from the baseline must trigger a remediation ticket within 24 hours.</w:t>
            </w:r>
          </w:p>
        </w:tc>
      </w:tr>
      <w:tr>
        <w:tc>
          <w:tcPr>
            <w:tcW w:type="dxa" w:w="14400"/>
            <w:gridSpan w:val="4"/>
            <w:tcBorders>
              <w:top w:val="single" w:color="7B2C2C" w:sz="1"/>
              <w:left w:val="single" w:color="7B2C2C" w:sz="1"/>
              <w:bottom w:val="single" w:color="2E75B6" w:sz="6"/>
              <w:right w:val="single" w:color="7B2C2C" w:sz="1"/>
            </w:tcBorders>
            <w:shd w:fill="7B2C2C" w:val="clear"/>
            <w:tcMar>
              <w:top w:type="dxa" w:w="90"/>
              <w:left w:type="dxa" w:w="140"/>
              <w:bottom w:type="dxa" w:w="90"/>
              <w:right w:type="dxa" w:w="140"/>
            </w:tcMar>
          </w:tcPr>
          <w:p>
            <w:r>
              <w:rPr>
                <w:rFonts w:ascii="Arial" w:cs="Arial" w:eastAsia="Arial" w:hAnsi="Arial"/>
                <w:b/>
                <w:bCs/>
                <w:color w:val="9DC3E6"/>
                <w:sz w:val="20"/>
                <w:szCs w:val="20"/>
              </w:rPr>
              <w:t xml:space="preserve">DOMAIN 09  —  </w:t>
            </w:r>
            <w:r>
              <w:rPr>
                <w:rFonts w:ascii="Arial" w:cs="Arial" w:eastAsia="Arial" w:hAnsi="Arial"/>
                <w:b/>
                <w:bCs/>
                <w:color w:val="FFFFFF"/>
                <w:sz w:val="20"/>
                <w:szCs w:val="20"/>
              </w:rPr>
              <w:t xml:space="preserve">PRIVACY &amp; REGULATORY COMPLIANCE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71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Privacy &amp; Regulatory Compliance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Law 25 Privacy Impact Assessment (PIA)</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Complete a formal PIA covering the Global Payments integration before any personal information is processed through the platform. The PIA must document data elements, purposes, legal basis, cross-border flows, identified risks, and mitigation measures. Assign the Privacy Officer as PIA lead and treat the PIA as a living document updated on any material change.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72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Privacy &amp; Regulatory Compliance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Transfer Impact Assessment (TIA) for Cross-Border Data</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If any personal information (device fingerprint, IP address, cardholder name, or transaction metadata linked to identifiable individuals) is processed outside Quebec, complete a documented TIA before go-live. The TIA must assess the receiving jurisdiction's protections, including US CLOUD Act exposure given Global Payments' US incorporation.</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73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Privacy &amp; Regulatory Compliance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Data Processing Agreement (DPA) Execution</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Execute a Law 25-compliant Data Processing Agreement with Global Payments before go-live. The DPA must include a Canadian data residency warranty, subprocessor list and change notification obligations, right-to-erasure support, breach notification obligations, and cross-border transfer restrictions.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74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Privacy &amp; Regulatory Compliance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Privacy Notice Update</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Update Sobeys' customer-facing privacy notice to disclose the engagement of Global Payments as a payment processing service provider, the categories of data shared, the purpose, and any cross-border transfers. Ensure the notice is accessible at the point of data collection.</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75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Privacy &amp; Regulatory Compliance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Consent Management for Secondary Data Use</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Ensure no Sobeys customer personal information is passed to Global Payments for any purpose beyond payment authorisation and fraud prevention without explicit documented consent. Prohibit Global Payments from using Sobeys transaction data for cross-merchant analytics or model training without consent.</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76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Privacy &amp; Regulatory Compliance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Data Subject Rights Process for Payment Data</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Establish a documented process for responding to data subject rights requests (access, erasure, portability) that involve data held by Global Payments. Define the process for submitting requests to Global Payments and the expected response timeline, noting Law 25 requires response within 30 days.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77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Privacy &amp; Regulatory Compliance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Privacy by Design in Integration Architecture</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Apply Privacy by Design principles: default to the minimum data set, collect no data beyond payment necessity, share nothing with Global Payments outside defined purposes, and conduct a privacy risk assessment for any integration change that affects personal information.</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78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Privacy &amp; Regulatory Compliance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Breach Register and Regulatory Notification Process</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Maintain a privacy breach register documenting all confirmed or suspected incidents involving personal information in the payment data path. Define and test the process for notifying the OPC (PIPEDA) and CAI (Law 25) within 72 hours of a high-risk incident. Include notification templates in the IR plan.</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79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Privacy &amp; Regulatory Compliance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Annual Privacy Compliance Review</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Conduct an annual review of Sobeys' privacy obligations as they relate to the Global Payments integration, covering Law 25 compliance posture, DPA adherence, data retention enforcement, new subprocessors, and any regulatory guidance updates from the CAI or OPC.</w:t>
            </w:r>
          </w:p>
        </w:tc>
      </w:tr>
      <w:tr>
        <w:tc>
          <w:tcPr>
            <w:tcW w:type="dxa" w:w="14400"/>
            <w:gridSpan w:val="4"/>
            <w:tcBorders>
              <w:top w:val="single" w:color="4A235A" w:sz="1"/>
              <w:left w:val="single" w:color="4A235A" w:sz="1"/>
              <w:bottom w:val="single" w:color="2E75B6" w:sz="6"/>
              <w:right w:val="single" w:color="4A235A" w:sz="1"/>
            </w:tcBorders>
            <w:shd w:fill="4A235A" w:val="clear"/>
            <w:tcMar>
              <w:top w:type="dxa" w:w="90"/>
              <w:left w:type="dxa" w:w="140"/>
              <w:bottom w:type="dxa" w:w="90"/>
              <w:right w:type="dxa" w:w="140"/>
            </w:tcMar>
          </w:tcPr>
          <w:p>
            <w:r>
              <w:rPr>
                <w:rFonts w:ascii="Arial" w:cs="Arial" w:eastAsia="Arial" w:hAnsi="Arial"/>
                <w:b/>
                <w:bCs/>
                <w:color w:val="9DC3E6"/>
                <w:sz w:val="20"/>
                <w:szCs w:val="20"/>
              </w:rPr>
              <w:t xml:space="preserve">DOMAIN 10  —  </w:t>
            </w:r>
            <w:r>
              <w:rPr>
                <w:rFonts w:ascii="Arial" w:cs="Arial" w:eastAsia="Arial" w:hAnsi="Arial"/>
                <w:b/>
                <w:bCs/>
                <w:color w:val="FFFFFF"/>
                <w:sz w:val="20"/>
                <w:szCs w:val="20"/>
              </w:rPr>
              <w:t xml:space="preserve">THIRD-PARTY &amp; VENDOR RISK MANAGEMENT</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80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Third-Party &amp; Vendor Risk Management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Annual Vendor Risk Assessment of Global Payments</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Conduct a formal annual vendor risk assessment of Global Payments using Sobeys' standard vendor risk questionnaire (HECVAT, CSA CAIQ, or equivalent). Assess security posture, PCI DSS compliance, financial stability, subprocessor chain, and incident history. Document findings and track remediation of identified gaps.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81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Third-Party &amp; Vendor Risk Management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Annual Review of Global Payments PCI DSS AoC</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Obtain and review the Global Payments Level 1 PCI DSS Attestation of Compliance (AoC) every year upon renewal. Confirm the scope has not materially changed, Canadian operations remain in scope, and no adverse findings are noted. Retain the AoC in Sobeys' vendor compliance file.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82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Third-Party &amp; Vendor Risk Management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Subprocessor Change Monitoring</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Actively monitor Global Payments' subprocessor list for changes. Upon notification of a new subprocessor, assess the privacy and security impact within 30 days. Exercise the contractual right to object if the new subprocessor introduces unacceptable data residency or privacy risk.</w:t>
            </w:r>
          </w:p>
        </w:tc>
      </w:tr>
      <w:tr>
        <w:tc>
          <w:tcPr>
            <w:tcW w:type="dxa" w:w="14400"/>
            <w:gridSpan w:val="4"/>
            <w:tcBorders>
              <w:top w:val="single" w:color="375623" w:sz="1"/>
              <w:left w:val="single" w:color="375623" w:sz="1"/>
              <w:bottom w:val="single" w:color="2E75B6" w:sz="6"/>
              <w:right w:val="single" w:color="375623" w:sz="1"/>
            </w:tcBorders>
            <w:shd w:fill="375623" w:val="clear"/>
            <w:tcMar>
              <w:top w:type="dxa" w:w="90"/>
              <w:left w:type="dxa" w:w="140"/>
              <w:bottom w:type="dxa" w:w="90"/>
              <w:right w:type="dxa" w:w="140"/>
            </w:tcMar>
          </w:tcPr>
          <w:p>
            <w:r>
              <w:rPr>
                <w:rFonts w:ascii="Arial" w:cs="Arial" w:eastAsia="Arial" w:hAnsi="Arial"/>
                <w:b/>
                <w:bCs/>
                <w:color w:val="9DC3E6"/>
                <w:sz w:val="20"/>
                <w:szCs w:val="20"/>
              </w:rPr>
              <w:t xml:space="preserve">DOMAIN 11  —  </w:t>
            </w:r>
            <w:r>
              <w:rPr>
                <w:rFonts w:ascii="Arial" w:cs="Arial" w:eastAsia="Arial" w:hAnsi="Arial"/>
                <w:b/>
                <w:bCs/>
                <w:color w:val="FFFFFF"/>
                <w:sz w:val="20"/>
                <w:szCs w:val="20"/>
              </w:rPr>
              <w:t xml:space="preserve">STAFF AWARENESS &amp; TRAINING</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83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Staff Awareness &amp; Training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PCI DSS Awareness Training for Store Personnel</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Deliver PCI DSS awareness training to all store personnel who interact with POS terminals, handle payment cards, or have access to payment systems. Training must cover terminal tamper recognition, skimmer awareness, cardholder data handling prohibitions, and incident reporting procedures. Deliver at onboarding and annually thereafter.</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84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Staff Awareness &amp; Training</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Security Awareness Training for IT and Integration Teams</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Deliver payment-specific security training to all Sobeys IT personnel involved in the Global Payments integration (developers, network engineers, SOC analysts, system administrators). Topics must include PCI DSS responsibilities, secure coding for payment systems, API security, and incident response procedures.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85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595959"/>
                <w:sz w:val="17"/>
                <w:szCs w:val="17"/>
              </w:rPr>
              <w:t xml:space="preserve">Staff Awareness &amp; Training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Social Engineering Awareness — Payment Focus</w:t>
            </w:r>
          </w:p>
        </w:tc>
        <w:tc>
          <w:tcPr>
            <w:tcW w:type="dxa" w:w="9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Include payment-targeted social engineering scenarios in Sobeys' phishing simulation programme. Scenarios should cover fraudulent 'Global Payments support' calls requesting remote access, phishing emails targeting portal credentials, and pretexting attempts to obtain API keys or HMAC secrets.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3864"/>
                <w:sz w:val="18"/>
                <w:szCs w:val="18"/>
              </w:rPr>
              <w:t xml:space="preserve">86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i/>
                <w:iCs/>
                <w:color w:val="595959"/>
                <w:sz w:val="17"/>
                <w:szCs w:val="17"/>
              </w:rPr>
              <w:t xml:space="preserve">Staff Awareness &amp; Training</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Incident Reporting Awareness</w:t>
            </w:r>
          </w:p>
        </w:tc>
        <w:tc>
          <w:tcPr>
            <w:tcW w:type="dxa" w:w="9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Train all personnel to recognise and report payment security incidents: suspicious terminal behaviour, unexpected POS errors, customer complaints about fraudulent charges, and unexpected system access requests. Establish a simple, well-known reporting channel (e.g., security hotline or email alias).</w:t>
            </w:r>
          </w:p>
        </w:tc>
      </w:tr>
    </w:tbl>
    <w:sectPr>
      <w:footerReference w:type="default" r:id="rId7"/>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595959"/>
        <w:sz w:val="16"/>
        <w:szCs w:val="16"/>
      </w:rPr>
      <w:t xml:space="preserve">CONFIDENTIAL  |  Sobeys Inc. — Global Payments Security Controls Register</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2026-05-25T15:15:56.719Z</dcterms:created>
  <dcterms:modified xsi:type="dcterms:W3CDTF">2026-05-25T15:15:56.721Z</dcterms:modified>
</cp:coreProperties>
</file>

<file path=docProps/custom.xml><?xml version="1.0" encoding="utf-8"?>
<Properties xmlns="http://schemas.openxmlformats.org/officeDocument/2006/custom-properties" xmlns:vt="http://schemas.openxmlformats.org/officeDocument/2006/docPropsVTypes"/>
</file>