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2A590" w14:textId="3F424734" w:rsidR="00092737" w:rsidRPr="00092737" w:rsidRDefault="00092737" w:rsidP="00092737">
      <w:pPr>
        <w:rPr>
          <w:rFonts w:ascii="Montserrat" w:hAnsi="Montserrat"/>
          <w:b/>
          <w:bCs/>
          <w:sz w:val="22"/>
          <w:szCs w:val="22"/>
          <w:lang w:val="es-CO"/>
        </w:rPr>
      </w:pPr>
      <w:r w:rsidRPr="00092737">
        <w:rPr>
          <w:rFonts w:ascii="Montserrat" w:hAnsi="Montserrat"/>
          <w:b/>
          <w:bCs/>
          <w:sz w:val="22"/>
          <w:szCs w:val="22"/>
          <w:lang w:val="es-CO"/>
        </w:rPr>
        <w:t>Objetivo</w:t>
      </w:r>
    </w:p>
    <w:p w14:paraId="5A767AA6" w14:textId="2C6096D5"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El plugin permite generar la subdivisión de los predios que requieren visita</w:t>
      </w:r>
      <w:r w:rsidRPr="00092737">
        <w:rPr>
          <w:rFonts w:ascii="Montserrat" w:hAnsi="Montserrat"/>
          <w:sz w:val="22"/>
          <w:szCs w:val="22"/>
          <w:lang w:val="es-CO"/>
        </w:rPr>
        <w:t xml:space="preserve"> por reconocedor</w:t>
      </w:r>
      <w:r w:rsidRPr="00092737">
        <w:rPr>
          <w:rFonts w:ascii="Montserrat" w:hAnsi="Montserrat"/>
          <w:sz w:val="22"/>
          <w:szCs w:val="22"/>
          <w:lang w:val="es-CO"/>
        </w:rPr>
        <w:t xml:space="preserve"> en campo, incorporando toda la información relevante que el reconocedor necesita consultar, tales como:</w:t>
      </w:r>
    </w:p>
    <w:p w14:paraId="0E4C1D61" w14:textId="77777777" w:rsidR="00092737" w:rsidRPr="00092737" w:rsidRDefault="00092737" w:rsidP="00092737">
      <w:pPr>
        <w:numPr>
          <w:ilvl w:val="0"/>
          <w:numId w:val="1"/>
        </w:numPr>
        <w:rPr>
          <w:rFonts w:ascii="Montserrat" w:hAnsi="Montserrat"/>
          <w:sz w:val="22"/>
          <w:szCs w:val="22"/>
        </w:rPr>
      </w:pPr>
      <w:r w:rsidRPr="00092737">
        <w:rPr>
          <w:rFonts w:ascii="Montserrat" w:hAnsi="Montserrat"/>
          <w:sz w:val="22"/>
          <w:szCs w:val="22"/>
        </w:rPr>
        <w:t>Tipo de derecho</w:t>
      </w:r>
    </w:p>
    <w:p w14:paraId="190FDB5F" w14:textId="77777777" w:rsidR="00092737" w:rsidRPr="00092737" w:rsidRDefault="00092737" w:rsidP="00092737">
      <w:pPr>
        <w:numPr>
          <w:ilvl w:val="0"/>
          <w:numId w:val="1"/>
        </w:numPr>
        <w:rPr>
          <w:rFonts w:ascii="Montserrat" w:hAnsi="Montserrat"/>
          <w:sz w:val="22"/>
          <w:szCs w:val="22"/>
        </w:rPr>
      </w:pPr>
      <w:proofErr w:type="spellStart"/>
      <w:r w:rsidRPr="00092737">
        <w:rPr>
          <w:rFonts w:ascii="Montserrat" w:hAnsi="Montserrat"/>
          <w:sz w:val="22"/>
          <w:szCs w:val="22"/>
        </w:rPr>
        <w:t>Interesados</w:t>
      </w:r>
      <w:proofErr w:type="spellEnd"/>
    </w:p>
    <w:p w14:paraId="105F89C8" w14:textId="77777777" w:rsidR="00092737" w:rsidRPr="00092737" w:rsidRDefault="00092737" w:rsidP="00092737">
      <w:pPr>
        <w:numPr>
          <w:ilvl w:val="0"/>
          <w:numId w:val="1"/>
        </w:numPr>
        <w:rPr>
          <w:rFonts w:ascii="Montserrat" w:hAnsi="Montserrat"/>
          <w:sz w:val="22"/>
          <w:szCs w:val="22"/>
        </w:rPr>
      </w:pPr>
      <w:r w:rsidRPr="00092737">
        <w:rPr>
          <w:rFonts w:ascii="Montserrat" w:hAnsi="Montserrat"/>
          <w:sz w:val="22"/>
          <w:szCs w:val="22"/>
        </w:rPr>
        <w:t xml:space="preserve">Destino </w:t>
      </w:r>
      <w:proofErr w:type="spellStart"/>
      <w:r w:rsidRPr="00092737">
        <w:rPr>
          <w:rFonts w:ascii="Montserrat" w:hAnsi="Montserrat"/>
          <w:sz w:val="22"/>
          <w:szCs w:val="22"/>
        </w:rPr>
        <w:t>económico</w:t>
      </w:r>
      <w:proofErr w:type="spellEnd"/>
    </w:p>
    <w:p w14:paraId="3C356EF6" w14:textId="77777777" w:rsidR="00092737" w:rsidRPr="00092737" w:rsidRDefault="00092737" w:rsidP="00092737">
      <w:pPr>
        <w:numPr>
          <w:ilvl w:val="0"/>
          <w:numId w:val="1"/>
        </w:numPr>
        <w:rPr>
          <w:rFonts w:ascii="Montserrat" w:hAnsi="Montserrat"/>
          <w:sz w:val="22"/>
          <w:szCs w:val="22"/>
        </w:rPr>
      </w:pPr>
      <w:proofErr w:type="spellStart"/>
      <w:r w:rsidRPr="00092737">
        <w:rPr>
          <w:rFonts w:ascii="Montserrat" w:hAnsi="Montserrat"/>
          <w:sz w:val="22"/>
          <w:szCs w:val="22"/>
        </w:rPr>
        <w:t>Matrícula</w:t>
      </w:r>
      <w:proofErr w:type="spellEnd"/>
      <w:r w:rsidRPr="00092737">
        <w:rPr>
          <w:rFonts w:ascii="Montserrat" w:hAnsi="Montserrat"/>
          <w:sz w:val="22"/>
          <w:szCs w:val="22"/>
        </w:rPr>
        <w:t xml:space="preserve"> </w:t>
      </w:r>
      <w:proofErr w:type="spellStart"/>
      <w:r w:rsidRPr="00092737">
        <w:rPr>
          <w:rFonts w:ascii="Montserrat" w:hAnsi="Montserrat"/>
          <w:sz w:val="22"/>
          <w:szCs w:val="22"/>
        </w:rPr>
        <w:t>inmobiliaria</w:t>
      </w:r>
      <w:proofErr w:type="spellEnd"/>
      <w:r w:rsidRPr="00092737">
        <w:rPr>
          <w:rFonts w:ascii="Montserrat" w:hAnsi="Montserrat"/>
          <w:sz w:val="22"/>
          <w:szCs w:val="22"/>
        </w:rPr>
        <w:t xml:space="preserve">, entre </w:t>
      </w:r>
      <w:proofErr w:type="spellStart"/>
      <w:r w:rsidRPr="00092737">
        <w:rPr>
          <w:rFonts w:ascii="Montserrat" w:hAnsi="Montserrat"/>
          <w:sz w:val="22"/>
          <w:szCs w:val="22"/>
        </w:rPr>
        <w:t>otros</w:t>
      </w:r>
      <w:proofErr w:type="spellEnd"/>
      <w:r w:rsidRPr="00092737">
        <w:rPr>
          <w:rFonts w:ascii="Montserrat" w:hAnsi="Montserrat"/>
          <w:sz w:val="22"/>
          <w:szCs w:val="22"/>
        </w:rPr>
        <w:t>.</w:t>
      </w:r>
    </w:p>
    <w:p w14:paraId="68EE9AC6" w14:textId="77777777"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 xml:space="preserve">Además, el plugin está diseñado para realizar cortes </w:t>
      </w:r>
      <w:proofErr w:type="spellStart"/>
      <w:r w:rsidRPr="00092737">
        <w:rPr>
          <w:rFonts w:ascii="Montserrat" w:hAnsi="Montserrat"/>
          <w:sz w:val="22"/>
          <w:szCs w:val="22"/>
          <w:lang w:val="es-CO"/>
        </w:rPr>
        <w:t>raster</w:t>
      </w:r>
      <w:proofErr w:type="spellEnd"/>
      <w:r w:rsidRPr="00092737">
        <w:rPr>
          <w:rFonts w:ascii="Montserrat" w:hAnsi="Montserrat"/>
          <w:sz w:val="22"/>
          <w:szCs w:val="22"/>
          <w:lang w:val="es-CO"/>
        </w:rPr>
        <w:t xml:space="preserve"> de ortofotos o imágenes seleccionadas, de forma que cada reconocedor cuente con el fragmento de imagen de su área de trabajo como apoyo durante sus visitas.</w:t>
      </w:r>
    </w:p>
    <w:p w14:paraId="49FA1D63" w14:textId="358FA967" w:rsidR="003152EE" w:rsidRPr="00092737" w:rsidRDefault="003152EE" w:rsidP="00092737">
      <w:pPr>
        <w:rPr>
          <w:rFonts w:ascii="Montserrat" w:hAnsi="Montserrat"/>
          <w:sz w:val="22"/>
          <w:szCs w:val="22"/>
          <w:lang w:val="es-CO"/>
        </w:rPr>
      </w:pPr>
    </w:p>
    <w:p w14:paraId="0C91E9AB" w14:textId="13F6B04C" w:rsidR="00092737" w:rsidRPr="00092737" w:rsidRDefault="00092737" w:rsidP="00092737">
      <w:pPr>
        <w:rPr>
          <w:rFonts w:ascii="Montserrat" w:hAnsi="Montserrat"/>
          <w:b/>
          <w:bCs/>
          <w:sz w:val="22"/>
          <w:szCs w:val="22"/>
          <w:lang w:val="es-CO"/>
        </w:rPr>
      </w:pPr>
      <w:r w:rsidRPr="00092737">
        <w:rPr>
          <w:rFonts w:ascii="Montserrat" w:hAnsi="Montserrat"/>
          <w:b/>
          <w:bCs/>
          <w:sz w:val="22"/>
          <w:szCs w:val="22"/>
          <w:lang w:val="es-CO"/>
        </w:rPr>
        <w:t>Modelo de datos y contexto</w:t>
      </w:r>
    </w:p>
    <w:p w14:paraId="54BDFFB7" w14:textId="77777777"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El modelo utilizado fue desarrollado por el equipo de datos de una empresa especializada en actualización catastral y conservación, permitiendo la generación de archivos en formato GPKG estructurados según el modelo LADM (versión 1.2).</w:t>
      </w:r>
    </w:p>
    <w:p w14:paraId="1807EAF8" w14:textId="77777777"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De este modo, los datos generados cumplen con los estándares requeridos para procesos de levantamiento y actualización predial.</w:t>
      </w:r>
    </w:p>
    <w:p w14:paraId="7797B15C" w14:textId="26FC7913" w:rsidR="00092737" w:rsidRPr="00092737" w:rsidRDefault="00092737" w:rsidP="00092737">
      <w:pPr>
        <w:rPr>
          <w:rFonts w:ascii="Montserrat" w:hAnsi="Montserrat"/>
          <w:b/>
          <w:bCs/>
          <w:sz w:val="22"/>
          <w:szCs w:val="22"/>
          <w:lang w:val="es-CO"/>
        </w:rPr>
      </w:pPr>
      <w:r w:rsidRPr="00092737">
        <w:rPr>
          <w:rFonts w:ascii="Montserrat" w:hAnsi="Montserrat"/>
          <w:b/>
          <w:bCs/>
          <w:sz w:val="22"/>
          <w:szCs w:val="22"/>
          <w:lang w:val="es-CO"/>
        </w:rPr>
        <w:t>Proceso ETL y generación de archivos</w:t>
      </w:r>
    </w:p>
    <w:p w14:paraId="117C09F7" w14:textId="77777777"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Para nutrir este modelo, se emplea un proceso ETL que selecciona y organiza los datos relevantes para cada reconocedor, generando para cada uno un archivo GPKG con un serial único en el nombre, de modo que cada reconocedor sepa cuál archivo le corresponde utilizar.</w:t>
      </w:r>
    </w:p>
    <w:p w14:paraId="5E96FFCD" w14:textId="77777777" w:rsidR="00092737" w:rsidRPr="00092737" w:rsidRDefault="00092737" w:rsidP="00092737">
      <w:pPr>
        <w:rPr>
          <w:rFonts w:ascii="Montserrat" w:hAnsi="Montserrat"/>
          <w:sz w:val="22"/>
          <w:szCs w:val="22"/>
          <w:lang w:val="es-CO"/>
        </w:rPr>
      </w:pPr>
      <w:r w:rsidRPr="00092737">
        <w:rPr>
          <w:rFonts w:ascii="Montserrat" w:hAnsi="Montserrat"/>
          <w:sz w:val="22"/>
          <w:szCs w:val="22"/>
          <w:lang w:val="es-CO"/>
        </w:rPr>
        <w:t>Estos archivos están diseñados para ser utilizados directamente en dispositivos móviles y tabletas (excepto dispositivos Apple) durante las visitas de campo.</w:t>
      </w:r>
    </w:p>
    <w:p w14:paraId="61E048B7" w14:textId="77777777" w:rsidR="00092737" w:rsidRPr="00092737" w:rsidRDefault="00092737" w:rsidP="00092737">
      <w:pPr>
        <w:rPr>
          <w:rFonts w:ascii="Montserrat" w:hAnsi="Montserrat"/>
          <w:sz w:val="22"/>
          <w:szCs w:val="22"/>
        </w:rPr>
      </w:pPr>
      <w:r w:rsidRPr="00092737">
        <w:rPr>
          <w:rFonts w:ascii="Montserrat" w:hAnsi="Montserrat"/>
          <w:sz w:val="22"/>
          <w:szCs w:val="22"/>
        </w:rPr>
        <w:pict w14:anchorId="651FBE9D">
          <v:rect id="_x0000_i1037" style="width:0;height:1.5pt" o:hralign="center" o:hrstd="t" o:hr="t" fillcolor="#a0a0a0" stroked="f"/>
        </w:pict>
      </w:r>
    </w:p>
    <w:p w14:paraId="74528E3C" w14:textId="56417A59" w:rsidR="00092737" w:rsidRPr="00092737" w:rsidRDefault="00092737" w:rsidP="00092737">
      <w:pPr>
        <w:rPr>
          <w:rFonts w:ascii="Montserrat" w:hAnsi="Montserrat"/>
          <w:b/>
          <w:bCs/>
          <w:sz w:val="22"/>
          <w:szCs w:val="22"/>
          <w:lang w:val="es-CO"/>
        </w:rPr>
      </w:pPr>
      <w:r w:rsidRPr="00092737">
        <w:rPr>
          <w:rFonts w:ascii="Montserrat" w:hAnsi="Montserrat"/>
          <w:b/>
          <w:bCs/>
          <w:sz w:val="22"/>
          <w:szCs w:val="22"/>
          <w:lang w:val="es-CO"/>
        </w:rPr>
        <w:t>Flujo de trabajo del reconocedor</w:t>
      </w:r>
    </w:p>
    <w:p w14:paraId="1E279A5F" w14:textId="09BF9965" w:rsidR="00092737" w:rsidRPr="00092737" w:rsidRDefault="00092737" w:rsidP="00092737">
      <w:pPr>
        <w:rPr>
          <w:rFonts w:ascii="Montserrat" w:hAnsi="Montserrat"/>
          <w:sz w:val="22"/>
          <w:szCs w:val="22"/>
        </w:rPr>
      </w:pPr>
      <w:proofErr w:type="spellStart"/>
      <w:r w:rsidRPr="00092737">
        <w:rPr>
          <w:rFonts w:ascii="Montserrat" w:hAnsi="Montserrat"/>
          <w:b/>
          <w:bCs/>
          <w:sz w:val="22"/>
          <w:szCs w:val="22"/>
        </w:rPr>
        <w:t>Preparación</w:t>
      </w:r>
      <w:proofErr w:type="spellEnd"/>
      <w:r w:rsidRPr="00092737">
        <w:rPr>
          <w:rFonts w:ascii="Montserrat" w:hAnsi="Montserrat"/>
          <w:b/>
          <w:bCs/>
          <w:sz w:val="22"/>
          <w:szCs w:val="22"/>
        </w:rPr>
        <w:t xml:space="preserve"> de </w:t>
      </w:r>
      <w:proofErr w:type="spellStart"/>
      <w:r w:rsidRPr="00092737">
        <w:rPr>
          <w:rFonts w:ascii="Montserrat" w:hAnsi="Montserrat"/>
          <w:b/>
          <w:bCs/>
          <w:sz w:val="22"/>
          <w:szCs w:val="22"/>
        </w:rPr>
        <w:t>archivos</w:t>
      </w:r>
      <w:proofErr w:type="spellEnd"/>
    </w:p>
    <w:p w14:paraId="7059EAAD" w14:textId="7531A902" w:rsidR="00092737" w:rsidRPr="00092737" w:rsidRDefault="00092737" w:rsidP="00092737">
      <w:pPr>
        <w:numPr>
          <w:ilvl w:val="0"/>
          <w:numId w:val="2"/>
        </w:numPr>
        <w:rPr>
          <w:rFonts w:ascii="Montserrat" w:hAnsi="Montserrat"/>
          <w:sz w:val="22"/>
          <w:szCs w:val="22"/>
          <w:lang w:val="es-CO"/>
        </w:rPr>
      </w:pPr>
      <w:r w:rsidRPr="00092737">
        <w:rPr>
          <w:rFonts w:ascii="Montserrat" w:hAnsi="Montserrat"/>
          <w:sz w:val="22"/>
          <w:szCs w:val="22"/>
          <w:lang w:val="es-CO"/>
        </w:rPr>
        <w:t>Se genera un</w:t>
      </w:r>
      <w:r>
        <w:rPr>
          <w:rFonts w:ascii="Montserrat" w:hAnsi="Montserrat"/>
          <w:sz w:val="22"/>
          <w:szCs w:val="22"/>
          <w:lang w:val="es-CO"/>
        </w:rPr>
        <w:t xml:space="preserve"> comprimido .zip </w:t>
      </w:r>
      <w:r w:rsidRPr="00092737">
        <w:rPr>
          <w:rFonts w:ascii="Montserrat" w:hAnsi="Montserrat"/>
          <w:sz w:val="22"/>
          <w:szCs w:val="22"/>
          <w:lang w:val="es-CO"/>
        </w:rPr>
        <w:t>para cada reconocedor.</w:t>
      </w:r>
    </w:p>
    <w:p w14:paraId="448CE995" w14:textId="77777777" w:rsidR="00092737" w:rsidRPr="00092737" w:rsidRDefault="00092737" w:rsidP="00092737">
      <w:pPr>
        <w:numPr>
          <w:ilvl w:val="1"/>
          <w:numId w:val="2"/>
        </w:numPr>
        <w:rPr>
          <w:rFonts w:ascii="Montserrat" w:hAnsi="Montserrat"/>
          <w:sz w:val="22"/>
          <w:szCs w:val="22"/>
          <w:lang w:val="es-CO"/>
        </w:rPr>
      </w:pPr>
      <w:r w:rsidRPr="00092737">
        <w:rPr>
          <w:rFonts w:ascii="Montserrat" w:hAnsi="Montserrat"/>
          <w:sz w:val="22"/>
          <w:szCs w:val="22"/>
          <w:lang w:val="es-CO"/>
        </w:rPr>
        <w:t xml:space="preserve">Se entrega una </w:t>
      </w:r>
      <w:proofErr w:type="gramStart"/>
      <w:r w:rsidRPr="00092737">
        <w:rPr>
          <w:rFonts w:ascii="Montserrat" w:hAnsi="Montserrat"/>
          <w:sz w:val="22"/>
          <w:szCs w:val="22"/>
          <w:lang w:val="es-CO"/>
        </w:rPr>
        <w:t>plantilla .</w:t>
      </w:r>
      <w:proofErr w:type="spellStart"/>
      <w:r w:rsidRPr="00092737">
        <w:rPr>
          <w:rFonts w:ascii="Montserrat" w:hAnsi="Montserrat"/>
          <w:sz w:val="22"/>
          <w:szCs w:val="22"/>
          <w:lang w:val="es-CO"/>
        </w:rPr>
        <w:t>qgs</w:t>
      </w:r>
      <w:proofErr w:type="spellEnd"/>
      <w:proofErr w:type="gramEnd"/>
      <w:r w:rsidRPr="00092737">
        <w:rPr>
          <w:rFonts w:ascii="Montserrat" w:hAnsi="Montserrat"/>
          <w:sz w:val="22"/>
          <w:szCs w:val="22"/>
          <w:lang w:val="es-CO"/>
        </w:rPr>
        <w:t xml:space="preserve"> que debe abrirse en el dispositivo móvil para el trabajo de campo.</w:t>
      </w:r>
    </w:p>
    <w:p w14:paraId="6CE9C0FC" w14:textId="77777777" w:rsidR="00092737" w:rsidRDefault="00092737" w:rsidP="00092737">
      <w:pPr>
        <w:numPr>
          <w:ilvl w:val="1"/>
          <w:numId w:val="2"/>
        </w:numPr>
        <w:rPr>
          <w:rFonts w:ascii="Montserrat" w:hAnsi="Montserrat"/>
          <w:sz w:val="22"/>
          <w:szCs w:val="22"/>
          <w:lang w:val="es-CO"/>
        </w:rPr>
      </w:pPr>
      <w:r w:rsidRPr="00092737">
        <w:rPr>
          <w:rFonts w:ascii="Montserrat" w:hAnsi="Montserrat"/>
          <w:sz w:val="22"/>
          <w:szCs w:val="22"/>
          <w:lang w:val="es-CO"/>
        </w:rPr>
        <w:t xml:space="preserve">Se entrega una </w:t>
      </w:r>
      <w:proofErr w:type="gramStart"/>
      <w:r w:rsidRPr="00092737">
        <w:rPr>
          <w:rFonts w:ascii="Montserrat" w:hAnsi="Montserrat"/>
          <w:sz w:val="22"/>
          <w:szCs w:val="22"/>
          <w:lang w:val="es-CO"/>
        </w:rPr>
        <w:t>plantilla .</w:t>
      </w:r>
      <w:proofErr w:type="spellStart"/>
      <w:r w:rsidRPr="00092737">
        <w:rPr>
          <w:rFonts w:ascii="Montserrat" w:hAnsi="Montserrat"/>
          <w:sz w:val="22"/>
          <w:szCs w:val="22"/>
          <w:lang w:val="es-CO"/>
        </w:rPr>
        <w:t>qgz</w:t>
      </w:r>
      <w:proofErr w:type="spellEnd"/>
      <w:proofErr w:type="gramEnd"/>
      <w:r w:rsidRPr="00092737">
        <w:rPr>
          <w:rFonts w:ascii="Montserrat" w:hAnsi="Montserrat"/>
          <w:sz w:val="22"/>
          <w:szCs w:val="22"/>
          <w:lang w:val="es-CO"/>
        </w:rPr>
        <w:t xml:space="preserve"> que contiene reglas de calidad de datos y completitud mínima, a ser revisadas cuidadosamente para garantizar la integridad de la información.</w:t>
      </w:r>
    </w:p>
    <w:p w14:paraId="30502096" w14:textId="77777777" w:rsidR="00092737" w:rsidRDefault="00092737" w:rsidP="00092737">
      <w:pPr>
        <w:numPr>
          <w:ilvl w:val="1"/>
          <w:numId w:val="2"/>
        </w:numPr>
        <w:rPr>
          <w:rFonts w:ascii="Montserrat" w:hAnsi="Montserrat"/>
          <w:sz w:val="22"/>
          <w:szCs w:val="22"/>
          <w:lang w:val="es-CO"/>
        </w:rPr>
      </w:pPr>
      <w:proofErr w:type="spellStart"/>
      <w:r>
        <w:rPr>
          <w:rFonts w:ascii="Montserrat" w:hAnsi="Montserrat"/>
          <w:sz w:val="22"/>
          <w:szCs w:val="22"/>
          <w:lang w:val="es-CO"/>
        </w:rPr>
        <w:lastRenderedPageBreak/>
        <w:t>Dominios.gpkg</w:t>
      </w:r>
      <w:proofErr w:type="spellEnd"/>
      <w:r>
        <w:rPr>
          <w:rFonts w:ascii="Montserrat" w:hAnsi="Montserrat"/>
          <w:sz w:val="22"/>
          <w:szCs w:val="22"/>
          <w:lang w:val="es-CO"/>
        </w:rPr>
        <w:t xml:space="preserve">: es la tabla construida </w:t>
      </w:r>
    </w:p>
    <w:p w14:paraId="5E9D64CD" w14:textId="38D9F3B6" w:rsidR="00092737" w:rsidRPr="00092737" w:rsidRDefault="00092737" w:rsidP="00092737">
      <w:pPr>
        <w:pStyle w:val="Prrafodelista"/>
        <w:numPr>
          <w:ilvl w:val="0"/>
          <w:numId w:val="2"/>
        </w:numPr>
        <w:rPr>
          <w:rFonts w:ascii="Montserrat" w:hAnsi="Montserrat"/>
          <w:sz w:val="22"/>
          <w:szCs w:val="22"/>
          <w:lang w:val="es-CO"/>
        </w:rPr>
      </w:pPr>
      <w:proofErr w:type="spellStart"/>
      <w:r w:rsidRPr="00092737">
        <w:rPr>
          <w:rFonts w:ascii="Montserrat" w:hAnsi="Montserrat"/>
          <w:b/>
          <w:bCs/>
          <w:sz w:val="22"/>
          <w:szCs w:val="22"/>
        </w:rPr>
        <w:t>Trabajo</w:t>
      </w:r>
      <w:proofErr w:type="spellEnd"/>
      <w:r w:rsidRPr="00092737">
        <w:rPr>
          <w:rFonts w:ascii="Montserrat" w:hAnsi="Montserrat"/>
          <w:b/>
          <w:bCs/>
          <w:sz w:val="22"/>
          <w:szCs w:val="22"/>
        </w:rPr>
        <w:t xml:space="preserve"> </w:t>
      </w:r>
      <w:proofErr w:type="spellStart"/>
      <w:r w:rsidRPr="00092737">
        <w:rPr>
          <w:rFonts w:ascii="Montserrat" w:hAnsi="Montserrat"/>
          <w:b/>
          <w:bCs/>
          <w:sz w:val="22"/>
          <w:szCs w:val="22"/>
        </w:rPr>
        <w:t>en</w:t>
      </w:r>
      <w:proofErr w:type="spellEnd"/>
      <w:r w:rsidRPr="00092737">
        <w:rPr>
          <w:rFonts w:ascii="Montserrat" w:hAnsi="Montserrat"/>
          <w:b/>
          <w:bCs/>
          <w:sz w:val="22"/>
          <w:szCs w:val="22"/>
        </w:rPr>
        <w:t xml:space="preserve"> campo</w:t>
      </w:r>
    </w:p>
    <w:p w14:paraId="573103FB" w14:textId="77777777" w:rsidR="00092737" w:rsidRPr="00092737" w:rsidRDefault="00092737" w:rsidP="00092737">
      <w:pPr>
        <w:numPr>
          <w:ilvl w:val="0"/>
          <w:numId w:val="3"/>
        </w:numPr>
        <w:rPr>
          <w:rFonts w:ascii="Montserrat" w:hAnsi="Montserrat"/>
          <w:sz w:val="22"/>
          <w:szCs w:val="22"/>
          <w:lang w:val="es-CO"/>
        </w:rPr>
      </w:pPr>
      <w:r w:rsidRPr="00092737">
        <w:rPr>
          <w:rFonts w:ascii="Montserrat" w:hAnsi="Montserrat"/>
          <w:sz w:val="22"/>
          <w:szCs w:val="22"/>
          <w:lang w:val="es-CO"/>
        </w:rPr>
        <w:t>El reconocedor utiliza el archivo GPKG y la ortofoto generada como apoyo para el reconocimiento predial.</w:t>
      </w:r>
    </w:p>
    <w:p w14:paraId="0E72A986" w14:textId="77777777" w:rsidR="00092737" w:rsidRPr="00092737" w:rsidRDefault="00092737" w:rsidP="00092737">
      <w:pPr>
        <w:numPr>
          <w:ilvl w:val="0"/>
          <w:numId w:val="3"/>
        </w:numPr>
        <w:rPr>
          <w:rFonts w:ascii="Montserrat" w:hAnsi="Montserrat"/>
          <w:sz w:val="22"/>
          <w:szCs w:val="22"/>
          <w:lang w:val="es-CO"/>
        </w:rPr>
      </w:pPr>
      <w:r w:rsidRPr="00092737">
        <w:rPr>
          <w:rFonts w:ascii="Montserrat" w:hAnsi="Montserrat"/>
          <w:sz w:val="22"/>
          <w:szCs w:val="22"/>
          <w:lang w:val="es-CO"/>
        </w:rPr>
        <w:t>Se realiza el aseguramiento de la calidad de los datos recopilados durante la visita.</w:t>
      </w:r>
    </w:p>
    <w:p w14:paraId="5FDE3E63" w14:textId="2FAC12B5" w:rsidR="00092737" w:rsidRPr="00092737" w:rsidRDefault="00092737" w:rsidP="00092737">
      <w:pPr>
        <w:rPr>
          <w:rFonts w:ascii="Montserrat" w:hAnsi="Montserrat"/>
          <w:sz w:val="22"/>
          <w:szCs w:val="22"/>
        </w:rPr>
      </w:pPr>
      <w:r w:rsidRPr="00092737">
        <w:rPr>
          <w:rFonts w:ascii="Montserrat" w:hAnsi="Montserrat"/>
          <w:sz w:val="22"/>
          <w:szCs w:val="22"/>
        </w:rPr>
        <w:t xml:space="preserve"> </w:t>
      </w:r>
      <w:proofErr w:type="spellStart"/>
      <w:r w:rsidRPr="00092737">
        <w:rPr>
          <w:rFonts w:ascii="Montserrat" w:hAnsi="Montserrat"/>
          <w:b/>
          <w:bCs/>
          <w:sz w:val="22"/>
          <w:szCs w:val="22"/>
        </w:rPr>
        <w:t>Consolidación</w:t>
      </w:r>
      <w:proofErr w:type="spellEnd"/>
      <w:r w:rsidRPr="00092737">
        <w:rPr>
          <w:rFonts w:ascii="Montserrat" w:hAnsi="Montserrat"/>
          <w:b/>
          <w:bCs/>
          <w:sz w:val="22"/>
          <w:szCs w:val="22"/>
        </w:rPr>
        <w:t xml:space="preserve"> de la </w:t>
      </w:r>
      <w:proofErr w:type="spellStart"/>
      <w:r w:rsidRPr="00092737">
        <w:rPr>
          <w:rFonts w:ascii="Montserrat" w:hAnsi="Montserrat"/>
          <w:b/>
          <w:bCs/>
          <w:sz w:val="22"/>
          <w:szCs w:val="22"/>
        </w:rPr>
        <w:t>información</w:t>
      </w:r>
      <w:proofErr w:type="spellEnd"/>
    </w:p>
    <w:p w14:paraId="6C0C4B75" w14:textId="77777777" w:rsidR="00092737" w:rsidRPr="00092737" w:rsidRDefault="00092737" w:rsidP="00092737">
      <w:pPr>
        <w:numPr>
          <w:ilvl w:val="0"/>
          <w:numId w:val="4"/>
        </w:numPr>
        <w:rPr>
          <w:rFonts w:ascii="Montserrat" w:hAnsi="Montserrat"/>
          <w:sz w:val="22"/>
          <w:szCs w:val="22"/>
          <w:lang w:val="es-CO"/>
        </w:rPr>
      </w:pPr>
      <w:r w:rsidRPr="00092737">
        <w:rPr>
          <w:rFonts w:ascii="Montserrat" w:hAnsi="Montserrat"/>
          <w:sz w:val="22"/>
          <w:szCs w:val="22"/>
          <w:lang w:val="es-CO"/>
        </w:rPr>
        <w:t>Tras las visitas, los archivos generados se consolidan en un esquema de base de datos.</w:t>
      </w:r>
    </w:p>
    <w:p w14:paraId="2EB7AC22" w14:textId="77777777" w:rsidR="00092737" w:rsidRPr="00092737" w:rsidRDefault="00092737" w:rsidP="00092737">
      <w:pPr>
        <w:numPr>
          <w:ilvl w:val="0"/>
          <w:numId w:val="4"/>
        </w:numPr>
        <w:rPr>
          <w:rFonts w:ascii="Montserrat" w:hAnsi="Montserrat"/>
          <w:sz w:val="22"/>
          <w:szCs w:val="22"/>
          <w:lang w:val="es-CO"/>
        </w:rPr>
      </w:pPr>
      <w:r w:rsidRPr="00092737">
        <w:rPr>
          <w:rFonts w:ascii="Montserrat" w:hAnsi="Montserrat"/>
          <w:sz w:val="22"/>
          <w:szCs w:val="22"/>
          <w:lang w:val="es-CO"/>
        </w:rPr>
        <w:t xml:space="preserve">Una vez verificados, estos datos permiten reconstruir el </w:t>
      </w:r>
      <w:r w:rsidRPr="00092737">
        <w:rPr>
          <w:rFonts w:ascii="Montserrat" w:hAnsi="Montserrat"/>
          <w:b/>
          <w:bCs/>
          <w:sz w:val="22"/>
          <w:szCs w:val="22"/>
          <w:lang w:val="es-CO"/>
        </w:rPr>
        <w:t>modelo LADM en su versión de levantamiento catastral</w:t>
      </w:r>
      <w:r w:rsidRPr="00092737">
        <w:rPr>
          <w:rFonts w:ascii="Montserrat" w:hAnsi="Montserrat"/>
          <w:sz w:val="22"/>
          <w:szCs w:val="22"/>
          <w:lang w:val="es-CO"/>
        </w:rPr>
        <w:t>.</w:t>
      </w:r>
    </w:p>
    <w:p w14:paraId="042135C3" w14:textId="1C227D32" w:rsidR="00092737" w:rsidRPr="00F2069A" w:rsidRDefault="00092737" w:rsidP="00092737">
      <w:pPr>
        <w:rPr>
          <w:rFonts w:ascii="Montserrat" w:hAnsi="Montserrat"/>
          <w:sz w:val="22"/>
          <w:szCs w:val="22"/>
        </w:rPr>
      </w:pPr>
    </w:p>
    <w:sectPr w:rsidR="00092737" w:rsidRPr="00F2069A" w:rsidSect="00561BD9">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4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F5D48"/>
    <w:multiLevelType w:val="multilevel"/>
    <w:tmpl w:val="C450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51CB8"/>
    <w:multiLevelType w:val="multilevel"/>
    <w:tmpl w:val="E22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5409A"/>
    <w:multiLevelType w:val="multilevel"/>
    <w:tmpl w:val="CD3A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F309D"/>
    <w:multiLevelType w:val="multilevel"/>
    <w:tmpl w:val="898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12928">
    <w:abstractNumId w:val="1"/>
  </w:num>
  <w:num w:numId="2" w16cid:durableId="1154372685">
    <w:abstractNumId w:val="2"/>
  </w:num>
  <w:num w:numId="3" w16cid:durableId="1025135842">
    <w:abstractNumId w:val="3"/>
  </w:num>
  <w:num w:numId="4" w16cid:durableId="155453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17"/>
    <w:rsid w:val="00092737"/>
    <w:rsid w:val="003152EE"/>
    <w:rsid w:val="00561BD9"/>
    <w:rsid w:val="009E0B17"/>
    <w:rsid w:val="00B47968"/>
    <w:rsid w:val="00DD12C4"/>
    <w:rsid w:val="00F2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934A"/>
  <w15:chartTrackingRefBased/>
  <w15:docId w15:val="{D98DD577-81D9-4DEA-9261-58439796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0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0B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0B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0B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0B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0B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0B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0B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B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0B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0B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0B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0B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0B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0B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0B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0B17"/>
    <w:rPr>
      <w:rFonts w:eastAsiaTheme="majorEastAsia" w:cstheme="majorBidi"/>
      <w:color w:val="272727" w:themeColor="text1" w:themeTint="D8"/>
    </w:rPr>
  </w:style>
  <w:style w:type="paragraph" w:styleId="Ttulo">
    <w:name w:val="Title"/>
    <w:basedOn w:val="Normal"/>
    <w:next w:val="Normal"/>
    <w:link w:val="TtuloCar"/>
    <w:uiPriority w:val="10"/>
    <w:qFormat/>
    <w:rsid w:val="009E0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0B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0B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0B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0B17"/>
    <w:pPr>
      <w:spacing w:before="160"/>
      <w:jc w:val="center"/>
    </w:pPr>
    <w:rPr>
      <w:i/>
      <w:iCs/>
      <w:color w:val="404040" w:themeColor="text1" w:themeTint="BF"/>
    </w:rPr>
  </w:style>
  <w:style w:type="character" w:customStyle="1" w:styleId="CitaCar">
    <w:name w:val="Cita Car"/>
    <w:basedOn w:val="Fuentedeprrafopredeter"/>
    <w:link w:val="Cita"/>
    <w:uiPriority w:val="29"/>
    <w:rsid w:val="009E0B17"/>
    <w:rPr>
      <w:i/>
      <w:iCs/>
      <w:color w:val="404040" w:themeColor="text1" w:themeTint="BF"/>
    </w:rPr>
  </w:style>
  <w:style w:type="paragraph" w:styleId="Prrafodelista">
    <w:name w:val="List Paragraph"/>
    <w:basedOn w:val="Normal"/>
    <w:uiPriority w:val="34"/>
    <w:qFormat/>
    <w:rsid w:val="009E0B17"/>
    <w:pPr>
      <w:ind w:left="720"/>
      <w:contextualSpacing/>
    </w:pPr>
  </w:style>
  <w:style w:type="character" w:styleId="nfasisintenso">
    <w:name w:val="Intense Emphasis"/>
    <w:basedOn w:val="Fuentedeprrafopredeter"/>
    <w:uiPriority w:val="21"/>
    <w:qFormat/>
    <w:rsid w:val="009E0B17"/>
    <w:rPr>
      <w:i/>
      <w:iCs/>
      <w:color w:val="0F4761" w:themeColor="accent1" w:themeShade="BF"/>
    </w:rPr>
  </w:style>
  <w:style w:type="paragraph" w:styleId="Citadestacada">
    <w:name w:val="Intense Quote"/>
    <w:basedOn w:val="Normal"/>
    <w:next w:val="Normal"/>
    <w:link w:val="CitadestacadaCar"/>
    <w:uiPriority w:val="30"/>
    <w:qFormat/>
    <w:rsid w:val="009E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0B17"/>
    <w:rPr>
      <w:i/>
      <w:iCs/>
      <w:color w:val="0F4761" w:themeColor="accent1" w:themeShade="BF"/>
    </w:rPr>
  </w:style>
  <w:style w:type="character" w:styleId="Referenciaintensa">
    <w:name w:val="Intense Reference"/>
    <w:basedOn w:val="Fuentedeprrafopredeter"/>
    <w:uiPriority w:val="32"/>
    <w:qFormat/>
    <w:rsid w:val="009E0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3912">
      <w:bodyDiv w:val="1"/>
      <w:marLeft w:val="0"/>
      <w:marRight w:val="0"/>
      <w:marTop w:val="0"/>
      <w:marBottom w:val="0"/>
      <w:divBdr>
        <w:top w:val="none" w:sz="0" w:space="0" w:color="auto"/>
        <w:left w:val="none" w:sz="0" w:space="0" w:color="auto"/>
        <w:bottom w:val="none" w:sz="0" w:space="0" w:color="auto"/>
        <w:right w:val="none" w:sz="0" w:space="0" w:color="auto"/>
      </w:divBdr>
    </w:div>
    <w:div w:id="531379813">
      <w:bodyDiv w:val="1"/>
      <w:marLeft w:val="0"/>
      <w:marRight w:val="0"/>
      <w:marTop w:val="0"/>
      <w:marBottom w:val="0"/>
      <w:divBdr>
        <w:top w:val="none" w:sz="0" w:space="0" w:color="auto"/>
        <w:left w:val="none" w:sz="0" w:space="0" w:color="auto"/>
        <w:bottom w:val="none" w:sz="0" w:space="0" w:color="auto"/>
        <w:right w:val="none" w:sz="0" w:space="0" w:color="auto"/>
      </w:divBdr>
    </w:div>
    <w:div w:id="672951189">
      <w:bodyDiv w:val="1"/>
      <w:marLeft w:val="0"/>
      <w:marRight w:val="0"/>
      <w:marTop w:val="0"/>
      <w:marBottom w:val="0"/>
      <w:divBdr>
        <w:top w:val="none" w:sz="0" w:space="0" w:color="auto"/>
        <w:left w:val="none" w:sz="0" w:space="0" w:color="auto"/>
        <w:bottom w:val="none" w:sz="0" w:space="0" w:color="auto"/>
        <w:right w:val="none" w:sz="0" w:space="0" w:color="auto"/>
      </w:divBdr>
    </w:div>
    <w:div w:id="1139419718">
      <w:bodyDiv w:val="1"/>
      <w:marLeft w:val="0"/>
      <w:marRight w:val="0"/>
      <w:marTop w:val="0"/>
      <w:marBottom w:val="0"/>
      <w:divBdr>
        <w:top w:val="none" w:sz="0" w:space="0" w:color="auto"/>
        <w:left w:val="none" w:sz="0" w:space="0" w:color="auto"/>
        <w:bottom w:val="none" w:sz="0" w:space="0" w:color="auto"/>
        <w:right w:val="none" w:sz="0" w:space="0" w:color="auto"/>
      </w:divBdr>
    </w:div>
    <w:div w:id="1342776234">
      <w:bodyDiv w:val="1"/>
      <w:marLeft w:val="0"/>
      <w:marRight w:val="0"/>
      <w:marTop w:val="0"/>
      <w:marBottom w:val="0"/>
      <w:divBdr>
        <w:top w:val="none" w:sz="0" w:space="0" w:color="auto"/>
        <w:left w:val="none" w:sz="0" w:space="0" w:color="auto"/>
        <w:bottom w:val="none" w:sz="0" w:space="0" w:color="auto"/>
        <w:right w:val="none" w:sz="0" w:space="0" w:color="auto"/>
      </w:divBdr>
    </w:div>
    <w:div w:id="196118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331</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Alexander López Rodríguez</dc:creator>
  <cp:keywords/>
  <dc:description/>
  <cp:lastModifiedBy>Jairo Alexander López Rodríguez</cp:lastModifiedBy>
  <cp:revision>2</cp:revision>
  <dcterms:created xsi:type="dcterms:W3CDTF">2025-07-11T19:14:00Z</dcterms:created>
  <dcterms:modified xsi:type="dcterms:W3CDTF">2025-07-11T20:00:00Z</dcterms:modified>
</cp:coreProperties>
</file>