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AA4D9" w14:textId="77777777" w:rsidR="00001DF2" w:rsidRPr="00A555A1" w:rsidRDefault="00000000" w:rsidP="00DE3BA9">
      <w:pPr>
        <w:spacing w:line="360" w:lineRule="auto"/>
        <w:ind w:left="5245"/>
        <w:jc w:val="both"/>
        <w:rPr>
          <w:rFonts w:ascii="Century Gothic" w:eastAsia="Century Gothic" w:hAnsi="Century Gothic" w:cs="Century Gothic"/>
        </w:rPr>
      </w:pPr>
      <w:r w:rsidRPr="00A555A1">
        <w:rPr>
          <w:rFonts w:ascii="Century Gothic" w:eastAsia="Century Gothic" w:hAnsi="Century Gothic" w:cs="Century Gothic"/>
          <w:b/>
          <w:bCs/>
        </w:rPr>
        <w:t>PERSONA QUEJOSA:</w:t>
      </w:r>
      <w:r w:rsidRPr="00A555A1">
        <w:rPr>
          <w:rFonts w:ascii="Century Gothic" w:eastAsia="Century Gothic" w:hAnsi="Century Gothic" w:cs="Century Gothic"/>
        </w:rPr>
        <w:t xml:space="preserve"> {{JUSTICIABLE}}</w:t>
      </w:r>
    </w:p>
    <w:p w14:paraId="65B2F25F" w14:textId="77777777" w:rsidR="00001DF2" w:rsidRPr="00A555A1" w:rsidRDefault="00000000">
      <w:pPr>
        <w:spacing w:line="360" w:lineRule="auto"/>
        <w:ind w:left="5245"/>
        <w:jc w:val="both"/>
        <w:rPr>
          <w:rFonts w:ascii="Century Gothic" w:eastAsia="Century Gothic" w:hAnsi="Century Gothic" w:cs="Century Gothic"/>
        </w:rPr>
      </w:pPr>
      <w:r w:rsidRPr="00A555A1">
        <w:rPr>
          <w:rFonts w:ascii="Century Gothic" w:eastAsia="Century Gothic" w:hAnsi="Century Gothic" w:cs="Century Gothic"/>
          <w:b/>
          <w:bCs/>
        </w:rPr>
        <w:t>ASUNTO:</w:t>
      </w:r>
      <w:r w:rsidRPr="00A555A1">
        <w:rPr>
          <w:rFonts w:ascii="Century Gothic" w:eastAsia="Century Gothic" w:hAnsi="Century Gothic" w:cs="Century Gothic"/>
        </w:rPr>
        <w:t xml:space="preserve"> SE PRESENTA AMPARO INDIRECTO.</w:t>
      </w:r>
    </w:p>
    <w:p w14:paraId="1D0902AD" w14:textId="77777777" w:rsidR="00001DF2" w:rsidRPr="00A555A1" w:rsidRDefault="00001DF2">
      <w:pPr>
        <w:spacing w:line="360" w:lineRule="auto"/>
        <w:ind w:left="5245"/>
        <w:jc w:val="both"/>
        <w:rPr>
          <w:rFonts w:ascii="Century Gothic" w:eastAsia="Century Gothic" w:hAnsi="Century Gothic" w:cs="Century Gothic"/>
        </w:rPr>
      </w:pPr>
    </w:p>
    <w:p w14:paraId="7DB86A5B" w14:textId="77777777" w:rsidR="00001DF2" w:rsidRPr="00A555A1" w:rsidRDefault="00000000">
      <w:pPr>
        <w:spacing w:line="360" w:lineRule="auto"/>
        <w:ind w:right="3595"/>
        <w:jc w:val="both"/>
        <w:rPr>
          <w:rFonts w:ascii="Century Gothic" w:eastAsia="Century Gothic" w:hAnsi="Century Gothic" w:cs="Century Gothic"/>
        </w:rPr>
      </w:pPr>
      <w:r w:rsidRPr="00A555A1">
        <w:rPr>
          <w:rFonts w:ascii="Century Gothic" w:eastAsia="Century Gothic" w:hAnsi="Century Gothic" w:cs="Century Gothic"/>
          <w:b/>
          <w:bCs/>
        </w:rPr>
        <w:t>C. JUEZ(A) DE DISTRITO DEL XXX CIRCUITO EN MATERIA DE ACCESO A LA INFORMACIÓN PÚBLICA Y PROTECCIÓN DE DATOS PERSONALES EN TURNO, CON RESIDENCIA EN LA CIUDAD DE AGUASCALIENTES, AGUASCALIENTES</w:t>
      </w:r>
      <w:r w:rsidRPr="00A555A1">
        <w:rPr>
          <w:rFonts w:ascii="Century Gothic" w:eastAsia="Century Gothic" w:hAnsi="Century Gothic" w:cs="Century Gothic"/>
        </w:rPr>
        <w:t xml:space="preserve"> </w:t>
      </w:r>
    </w:p>
    <w:p w14:paraId="26D51826" w14:textId="77777777" w:rsidR="00001DF2" w:rsidRPr="00A555A1" w:rsidRDefault="00000000">
      <w:pPr>
        <w:spacing w:line="360" w:lineRule="auto"/>
        <w:jc w:val="both"/>
        <w:rPr>
          <w:rFonts w:ascii="Century Gothic" w:eastAsia="Century Gothic" w:hAnsi="Century Gothic" w:cs="Century Gothic"/>
          <w:b/>
          <w:bCs/>
        </w:rPr>
      </w:pPr>
      <w:r w:rsidRPr="00A555A1">
        <w:rPr>
          <w:rFonts w:ascii="Century Gothic" w:eastAsia="Century Gothic" w:hAnsi="Century Gothic" w:cs="Century Gothic"/>
          <w:b/>
          <w:bCs/>
        </w:rPr>
        <w:t>PRESENTE:</w:t>
      </w:r>
    </w:p>
    <w:p w14:paraId="580C43A4" w14:textId="77777777" w:rsidR="00001DF2" w:rsidRPr="00A555A1" w:rsidRDefault="00001DF2">
      <w:pPr>
        <w:spacing w:line="360" w:lineRule="auto"/>
        <w:jc w:val="both"/>
        <w:rPr>
          <w:rFonts w:ascii="Century Gothic" w:eastAsia="Century Gothic" w:hAnsi="Century Gothic" w:cs="Century Gothic"/>
        </w:rPr>
      </w:pPr>
    </w:p>
    <w:p w14:paraId="698BE29C" w14:textId="13D513E8" w:rsidR="00001DF2" w:rsidRPr="00A555A1" w:rsidRDefault="00054C41">
      <w:pPr>
        <w:spacing w:line="360" w:lineRule="auto"/>
        <w:jc w:val="both"/>
        <w:rPr>
          <w:rFonts w:ascii="Century Gothic" w:eastAsia="Century Gothic" w:hAnsi="Century Gothic" w:cs="Century Gothic"/>
        </w:rPr>
      </w:pPr>
      <w:r w:rsidRPr="00054C41">
        <w:rPr>
          <w:rFonts w:ascii="Century Gothic" w:eastAsia="Century Gothic" w:hAnsi="Century Gothic" w:cs="Century Gothic"/>
          <w:b/>
          <w:bCs/>
        </w:rPr>
        <w:t>{{PERSONERIA_PROEMIO}}</w:t>
      </w:r>
      <w:r w:rsidRPr="00DE3BA9">
        <w:rPr>
          <w:rFonts w:ascii="Century Gothic" w:eastAsia="Century Gothic" w:hAnsi="Century Gothic" w:cs="Century Gothic"/>
        </w:rPr>
        <w:t xml:space="preserve">, señalando como domicilio el ubicado en </w:t>
      </w:r>
      <w:r w:rsidR="00E309B9" w:rsidRPr="00CD67EE">
        <w:rPr>
          <w:rFonts w:ascii="Century Gothic" w:eastAsia="Century Gothic" w:hAnsi="Century Gothic" w:cs="Century Gothic"/>
          <w:b/>
        </w:rPr>
        <w:t>{{</w:t>
      </w:r>
      <w:r w:rsidRPr="00CD67EE">
        <w:rPr>
          <w:rFonts w:ascii="Century Gothic" w:eastAsia="Century Gothic" w:hAnsi="Century Gothic" w:cs="Century Gothic"/>
          <w:b/>
        </w:rPr>
        <w:t>DOMICILIO</w:t>
      </w:r>
      <w:r w:rsidR="00E309B9" w:rsidRPr="00CD67EE">
        <w:rPr>
          <w:rFonts w:ascii="Century Gothic" w:eastAsia="Century Gothic" w:hAnsi="Century Gothic" w:cs="Century Gothic"/>
          <w:b/>
        </w:rPr>
        <w:t>}}</w:t>
      </w:r>
      <w:r w:rsidR="00395D93">
        <w:rPr>
          <w:rFonts w:ascii="Century Gothic" w:eastAsia="Century Gothic" w:hAnsi="Century Gothic" w:cs="Century Gothic"/>
          <w:b/>
        </w:rPr>
        <w:t>, C.P. {{CP}}, {{CIUDAD_EDO}}</w:t>
      </w:r>
      <w:r w:rsidRPr="00DE3BA9">
        <w:rPr>
          <w:rFonts w:ascii="Century Gothic" w:eastAsia="Century Gothic" w:hAnsi="Century Gothic" w:cs="Century Gothic"/>
        </w:rPr>
        <w:t xml:space="preserve">; señalando como medio para oír y recibir todo tipo de notificaciones y documentos, aun los de carácter personal, al usuario </w:t>
      </w:r>
      <w:r w:rsidR="00E309B9" w:rsidRPr="00CD67EE">
        <w:rPr>
          <w:rFonts w:ascii="Century Gothic" w:eastAsia="Century Gothic" w:hAnsi="Century Gothic" w:cs="Century Gothic"/>
          <w:b/>
        </w:rPr>
        <w:t>{{</w:t>
      </w:r>
      <w:r w:rsidRPr="00CD67EE">
        <w:rPr>
          <w:rFonts w:ascii="Century Gothic" w:eastAsia="Century Gothic" w:hAnsi="Century Gothic" w:cs="Century Gothic"/>
          <w:b/>
        </w:rPr>
        <w:t>USUARIO</w:t>
      </w:r>
      <w:r w:rsidR="00E309B9" w:rsidRPr="00CD67EE">
        <w:rPr>
          <w:rFonts w:ascii="Century Gothic" w:eastAsia="Century Gothic" w:hAnsi="Century Gothic" w:cs="Century Gothic"/>
          <w:b/>
        </w:rPr>
        <w:t>}}</w:t>
      </w:r>
      <w:r w:rsidRPr="00DE3BA9">
        <w:rPr>
          <w:rFonts w:ascii="Century Gothic" w:eastAsia="Century Gothic" w:hAnsi="Century Gothic" w:cs="Century Gothic"/>
        </w:rPr>
        <w:t xml:space="preserve"> dentro del Sistema del Portal de Servicios en Línea del Poder Judicial de la</w:t>
      </w:r>
      <w:r w:rsidRPr="00A555A1">
        <w:rPr>
          <w:rFonts w:ascii="Century Gothic" w:eastAsia="Century Gothic" w:hAnsi="Century Gothic" w:cs="Century Gothic"/>
        </w:rPr>
        <w:t xml:space="preserve"> Federación, usuario que pertenece a</w:t>
      </w:r>
      <w:r w:rsidR="00175C2F">
        <w:rPr>
          <w:rFonts w:ascii="Century Gothic" w:eastAsia="Century Gothic" w:hAnsi="Century Gothic" w:cs="Century Gothic"/>
        </w:rPr>
        <w:t xml:space="preserve"> la suscrita persona quejosa</w:t>
      </w:r>
      <w:r w:rsidRPr="00A555A1">
        <w:rPr>
          <w:rFonts w:ascii="Century Gothic" w:eastAsia="Century Gothic" w:hAnsi="Century Gothic" w:cs="Century Gothic"/>
        </w:rPr>
        <w:t>, o en su defecto, por falla técnica, de conformidad con el artículo 68 del Acuerdo General 06/2026 del Órgano de Administración de Justicia del Poder Judicial de la Federación (en adelante, AG-POAJ-006/2026), se realice en el domicilio antes señalado; y autorizando en los términos más amplios del artículo 12 de la Ley de Amparo</w:t>
      </w:r>
      <w:r w:rsidR="00C73ABC">
        <w:rPr>
          <w:rFonts w:ascii="Century Gothic" w:eastAsia="Century Gothic" w:hAnsi="Century Gothic" w:cs="Century Gothic"/>
        </w:rPr>
        <w:t xml:space="preserve"> </w:t>
      </w:r>
      <w:r w:rsidRPr="00A555A1">
        <w:rPr>
          <w:rFonts w:ascii="Century Gothic" w:eastAsia="Century Gothic" w:hAnsi="Century Gothic" w:cs="Century Gothic"/>
        </w:rPr>
        <w:t>(en</w:t>
      </w:r>
      <w:r w:rsidR="00C73ABC">
        <w:rPr>
          <w:rFonts w:ascii="Century Gothic" w:eastAsia="Century Gothic" w:hAnsi="Century Gothic" w:cs="Century Gothic"/>
        </w:rPr>
        <w:t xml:space="preserve"> </w:t>
      </w:r>
      <w:r w:rsidRPr="00A555A1">
        <w:rPr>
          <w:rFonts w:ascii="Century Gothic" w:eastAsia="Century Gothic" w:hAnsi="Century Gothic" w:cs="Century Gothic"/>
        </w:rPr>
        <w:t>adelante,</w:t>
      </w:r>
      <w:r w:rsidR="00C73ABC">
        <w:rPr>
          <w:rFonts w:ascii="Century Gothic" w:eastAsia="Century Gothic" w:hAnsi="Century Gothic" w:cs="Century Gothic"/>
        </w:rPr>
        <w:t xml:space="preserve"> </w:t>
      </w:r>
      <w:r w:rsidRPr="00A555A1">
        <w:rPr>
          <w:rFonts w:ascii="Century Gothic" w:eastAsia="Century Gothic" w:hAnsi="Century Gothic" w:cs="Century Gothic"/>
        </w:rPr>
        <w:t>LAmp) a</w:t>
      </w:r>
      <w:r w:rsidR="00743935">
        <w:rPr>
          <w:rFonts w:ascii="Century Gothic" w:eastAsia="Century Gothic" w:hAnsi="Century Gothic" w:cs="Century Gothic"/>
        </w:rPr>
        <w:t>l(a</w:t>
      </w:r>
      <w:r w:rsidRPr="00A555A1">
        <w:rPr>
          <w:rFonts w:ascii="Century Gothic" w:eastAsia="Century Gothic" w:hAnsi="Century Gothic" w:cs="Century Gothic"/>
        </w:rPr>
        <w:t xml:space="preserve"> los</w:t>
      </w:r>
      <w:r w:rsidR="00743935">
        <w:rPr>
          <w:rFonts w:ascii="Century Gothic" w:eastAsia="Century Gothic" w:hAnsi="Century Gothic" w:cs="Century Gothic"/>
        </w:rPr>
        <w:t>)</w:t>
      </w:r>
      <w:r w:rsidRPr="00A555A1">
        <w:rPr>
          <w:rFonts w:ascii="Century Gothic" w:eastAsia="Century Gothic" w:hAnsi="Century Gothic" w:cs="Century Gothic"/>
        </w:rPr>
        <w:t xml:space="preserve"> </w:t>
      </w:r>
      <w:r w:rsidR="00743935">
        <w:rPr>
          <w:rFonts w:ascii="Century Gothic" w:eastAsia="Century Gothic" w:hAnsi="Century Gothic" w:cs="Century Gothic"/>
        </w:rPr>
        <w:t>Lic(s).</w:t>
      </w:r>
      <w:r w:rsidRPr="00A555A1">
        <w:rPr>
          <w:rFonts w:ascii="Century Gothic" w:eastAsia="Century Gothic" w:hAnsi="Century Gothic" w:cs="Century Gothic"/>
        </w:rPr>
        <w:t xml:space="preserve"> en </w:t>
      </w:r>
      <w:r w:rsidR="00743935">
        <w:rPr>
          <w:rFonts w:ascii="Century Gothic" w:eastAsia="Century Gothic" w:hAnsi="Century Gothic" w:cs="Century Gothic"/>
        </w:rPr>
        <w:t>D</w:t>
      </w:r>
      <w:r w:rsidRPr="00A555A1">
        <w:rPr>
          <w:rFonts w:ascii="Century Gothic" w:eastAsia="Century Gothic" w:hAnsi="Century Gothic" w:cs="Century Gothic"/>
        </w:rPr>
        <w:t>erecho</w:t>
      </w:r>
      <w:r w:rsidRPr="00A555A1">
        <w:rPr>
          <w:rFonts w:ascii="Century Gothic" w:eastAsia="Century Gothic" w:hAnsi="Century Gothic" w:cs="Century Gothic"/>
          <w:vertAlign w:val="superscript"/>
        </w:rPr>
        <w:footnoteReference w:id="1"/>
      </w:r>
      <w:r w:rsidRPr="00A555A1">
        <w:rPr>
          <w:rFonts w:ascii="Century Gothic" w:eastAsia="Century Gothic" w:hAnsi="Century Gothic" w:cs="Century Gothic"/>
        </w:rPr>
        <w:t xml:space="preserve"> </w:t>
      </w:r>
      <w:r w:rsidR="00E309B9" w:rsidRPr="00CD67EE">
        <w:rPr>
          <w:rFonts w:ascii="Century Gothic" w:eastAsia="Century Gothic" w:hAnsi="Century Gothic" w:cs="Century Gothic"/>
          <w:b/>
        </w:rPr>
        <w:t>{{</w:t>
      </w:r>
      <w:r w:rsidRPr="00CD67EE">
        <w:rPr>
          <w:rFonts w:ascii="Century Gothic" w:eastAsia="Century Gothic" w:hAnsi="Century Gothic" w:cs="Century Gothic"/>
          <w:b/>
        </w:rPr>
        <w:t>ABOGADO_1</w:t>
      </w:r>
      <w:r w:rsidR="00E309B9" w:rsidRPr="00CD67EE">
        <w:rPr>
          <w:rFonts w:ascii="Century Gothic" w:eastAsia="Century Gothic" w:hAnsi="Century Gothic" w:cs="Century Gothic"/>
          <w:b/>
        </w:rPr>
        <w:t>}}</w:t>
      </w:r>
      <w:r w:rsidRPr="00A555A1">
        <w:rPr>
          <w:rFonts w:ascii="Century Gothic" w:eastAsia="Century Gothic" w:hAnsi="Century Gothic" w:cs="Century Gothic"/>
        </w:rPr>
        <w:t xml:space="preserve"> (cédula profesional </w:t>
      </w:r>
      <w:r w:rsidR="00E309B9" w:rsidRPr="00CD67EE">
        <w:rPr>
          <w:rFonts w:ascii="Century Gothic" w:eastAsia="Century Gothic" w:hAnsi="Century Gothic" w:cs="Century Gothic"/>
          <w:b/>
        </w:rPr>
        <w:t>{{</w:t>
      </w:r>
      <w:r w:rsidRPr="00CD67EE">
        <w:rPr>
          <w:rFonts w:ascii="Century Gothic" w:eastAsia="Century Gothic" w:hAnsi="Century Gothic" w:cs="Century Gothic"/>
          <w:b/>
        </w:rPr>
        <w:t>CEDULA_1</w:t>
      </w:r>
      <w:r w:rsidR="00E309B9" w:rsidRPr="00CD67EE">
        <w:rPr>
          <w:rFonts w:ascii="Century Gothic" w:eastAsia="Century Gothic" w:hAnsi="Century Gothic" w:cs="Century Gothic"/>
          <w:b/>
        </w:rPr>
        <w:t>}}</w:t>
      </w:r>
      <w:r w:rsidRPr="00A555A1">
        <w:rPr>
          <w:rFonts w:ascii="Century Gothic" w:eastAsia="Century Gothic" w:hAnsi="Century Gothic" w:cs="Century Gothic"/>
        </w:rPr>
        <w:t xml:space="preserve">) y </w:t>
      </w:r>
      <w:r w:rsidR="00E309B9" w:rsidRPr="00CD67EE">
        <w:rPr>
          <w:rFonts w:ascii="Century Gothic" w:eastAsia="Century Gothic" w:hAnsi="Century Gothic" w:cs="Century Gothic"/>
          <w:b/>
        </w:rPr>
        <w:t>{{</w:t>
      </w:r>
      <w:r w:rsidRPr="00CD67EE">
        <w:rPr>
          <w:rFonts w:ascii="Century Gothic" w:eastAsia="Century Gothic" w:hAnsi="Century Gothic" w:cs="Century Gothic"/>
          <w:b/>
        </w:rPr>
        <w:t>ABOGADO_2</w:t>
      </w:r>
      <w:r w:rsidR="00E309B9" w:rsidRPr="00CD67EE">
        <w:rPr>
          <w:rFonts w:ascii="Century Gothic" w:eastAsia="Century Gothic" w:hAnsi="Century Gothic" w:cs="Century Gothic"/>
          <w:b/>
        </w:rPr>
        <w:t>}}</w:t>
      </w:r>
      <w:r w:rsidRPr="00A555A1">
        <w:rPr>
          <w:rFonts w:ascii="Century Gothic" w:eastAsia="Century Gothic" w:hAnsi="Century Gothic" w:cs="Century Gothic"/>
        </w:rPr>
        <w:t xml:space="preserve"> (cédula profesional </w:t>
      </w:r>
      <w:r w:rsidR="00E309B9" w:rsidRPr="00CD67EE">
        <w:rPr>
          <w:rFonts w:ascii="Century Gothic" w:eastAsia="Century Gothic" w:hAnsi="Century Gothic" w:cs="Century Gothic"/>
          <w:b/>
        </w:rPr>
        <w:t>{{</w:t>
      </w:r>
      <w:r w:rsidRPr="00CD67EE">
        <w:rPr>
          <w:rFonts w:ascii="Century Gothic" w:eastAsia="Century Gothic" w:hAnsi="Century Gothic" w:cs="Century Gothic"/>
          <w:b/>
        </w:rPr>
        <w:t>CEDULA_2</w:t>
      </w:r>
      <w:r w:rsidR="00E309B9" w:rsidRPr="00CD67EE">
        <w:rPr>
          <w:rFonts w:ascii="Century Gothic" w:eastAsia="Century Gothic" w:hAnsi="Century Gothic" w:cs="Century Gothic"/>
          <w:b/>
        </w:rPr>
        <w:t>}}</w:t>
      </w:r>
      <w:r w:rsidRPr="00A555A1">
        <w:rPr>
          <w:rFonts w:ascii="Century Gothic" w:eastAsia="Century Gothic" w:hAnsi="Century Gothic" w:cs="Century Gothic"/>
        </w:rPr>
        <w:t>); ante Usted, con el debido respeto, comparezco para,</w:t>
      </w:r>
    </w:p>
    <w:p w14:paraId="30AEEB68" w14:textId="77777777" w:rsidR="00001DF2" w:rsidRPr="00A555A1" w:rsidRDefault="00001DF2">
      <w:pPr>
        <w:spacing w:line="360" w:lineRule="auto"/>
        <w:ind w:firstLine="1418"/>
        <w:jc w:val="both"/>
        <w:rPr>
          <w:rFonts w:ascii="Century Gothic" w:eastAsia="Century Gothic" w:hAnsi="Century Gothic" w:cs="Century Gothic"/>
        </w:rPr>
      </w:pPr>
    </w:p>
    <w:p w14:paraId="4189C0C2" w14:textId="77777777" w:rsidR="00001DF2" w:rsidRPr="00A555A1" w:rsidRDefault="00000000">
      <w:pPr>
        <w:spacing w:line="360" w:lineRule="auto"/>
        <w:jc w:val="center"/>
        <w:rPr>
          <w:rFonts w:ascii="Century Gothic" w:eastAsia="Century Gothic" w:hAnsi="Century Gothic" w:cs="Century Gothic"/>
        </w:rPr>
      </w:pPr>
      <w:r w:rsidRPr="00A555A1">
        <w:rPr>
          <w:rFonts w:ascii="Century Gothic" w:eastAsia="Century Gothic" w:hAnsi="Century Gothic" w:cs="Century Gothic"/>
          <w:b/>
          <w:bCs/>
        </w:rPr>
        <w:t>EXPONER:</w:t>
      </w:r>
    </w:p>
    <w:p w14:paraId="5CB4B35B" w14:textId="3D82C395"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Con fundamento en los artículos 103, fracción I y 107 de la Constitución Política de los Estados Unidos Mexicanos (en adelante, CPEUM); 8.1 y 25 de la Convención Americana sobre Derechos Humanos (en adelante, </w:t>
      </w:r>
      <w:r w:rsidRPr="00A555A1">
        <w:rPr>
          <w:rFonts w:ascii="Century Gothic" w:eastAsia="Century Gothic" w:hAnsi="Century Gothic" w:cs="Century Gothic"/>
        </w:rPr>
        <w:lastRenderedPageBreak/>
        <w:t>CADH); y 1°, 3º, 5°, 6°,</w:t>
      </w:r>
      <w:r w:rsidR="005112C5">
        <w:rPr>
          <w:rFonts w:ascii="Century Gothic" w:eastAsia="Century Gothic" w:hAnsi="Century Gothic" w:cs="Century Gothic"/>
        </w:rPr>
        <w:t xml:space="preserve"> 8º,</w:t>
      </w:r>
      <w:r w:rsidRPr="00A555A1">
        <w:rPr>
          <w:rFonts w:ascii="Century Gothic" w:eastAsia="Century Gothic" w:hAnsi="Century Gothic" w:cs="Century Gothic"/>
        </w:rPr>
        <w:t xml:space="preserve"> 12, 20, 107, 108 y 110 demás relativos y aplicables de la LAmp, comparezco para demandar el </w:t>
      </w:r>
      <w:r w:rsidRPr="00A555A1">
        <w:rPr>
          <w:rFonts w:ascii="Century Gothic" w:eastAsia="Century Gothic" w:hAnsi="Century Gothic" w:cs="Century Gothic"/>
          <w:b/>
          <w:bCs/>
        </w:rPr>
        <w:t>AMPARO DE LA JUSTICIA FEDERAL</w:t>
      </w:r>
      <w:r w:rsidRPr="00A555A1">
        <w:rPr>
          <w:rFonts w:ascii="Century Gothic" w:eastAsia="Century Gothic" w:hAnsi="Century Gothic" w:cs="Century Gothic"/>
        </w:rPr>
        <w:t>, en contra de los actos reclamados y de las autoridades responsables que más adelante se precisan, toda vez que vulneran de manera grave y sistemática derechos sustantivos tutelados en la CPEUM y en los Tratados Internacionales de los que el Estado Mexicano es parte.</w:t>
      </w:r>
    </w:p>
    <w:p w14:paraId="1B51A4F2" w14:textId="77777777" w:rsidR="00001DF2" w:rsidRPr="00A555A1" w:rsidRDefault="00001DF2">
      <w:pPr>
        <w:spacing w:line="360" w:lineRule="auto"/>
        <w:ind w:firstLine="1418"/>
        <w:jc w:val="both"/>
        <w:rPr>
          <w:rFonts w:ascii="Century Gothic" w:eastAsia="Century Gothic" w:hAnsi="Century Gothic" w:cs="Century Gothic"/>
        </w:rPr>
      </w:pPr>
    </w:p>
    <w:p w14:paraId="26318732" w14:textId="77777777" w:rsidR="00001DF2" w:rsidRPr="00A555A1" w:rsidRDefault="00000000">
      <w:pPr>
        <w:spacing w:line="360" w:lineRule="auto"/>
        <w:jc w:val="center"/>
        <w:rPr>
          <w:rFonts w:ascii="Century Gothic" w:eastAsia="Century Gothic" w:hAnsi="Century Gothic" w:cs="Century Gothic"/>
          <w:b/>
          <w:bCs/>
        </w:rPr>
      </w:pPr>
      <w:r w:rsidRPr="00A555A1">
        <w:rPr>
          <w:rFonts w:ascii="Century Gothic" w:eastAsia="Century Gothic" w:hAnsi="Century Gothic" w:cs="Century Gothic"/>
          <w:b/>
          <w:bCs/>
        </w:rPr>
        <w:t>CONSIDERACIONES PREVIAS:</w:t>
      </w:r>
    </w:p>
    <w:p w14:paraId="551C543E" w14:textId="77777777" w:rsidR="00001DF2" w:rsidRPr="00A555A1" w:rsidRDefault="00000000">
      <w:pPr>
        <w:spacing w:line="360" w:lineRule="auto"/>
        <w:jc w:val="both"/>
        <w:rPr>
          <w:rFonts w:ascii="Century Gothic" w:eastAsia="Century Gothic" w:hAnsi="Century Gothic" w:cs="Century Gothic"/>
        </w:rPr>
      </w:pPr>
      <w:r w:rsidRPr="00A555A1">
        <w:rPr>
          <w:rFonts w:ascii="Century Gothic" w:eastAsia="Century Gothic" w:hAnsi="Century Gothic" w:cs="Century Gothic"/>
          <w:b/>
          <w:bCs/>
        </w:rPr>
        <w:t xml:space="preserve">OPORTUNIDAD. </w:t>
      </w:r>
      <w:r w:rsidRPr="00A555A1">
        <w:rPr>
          <w:rFonts w:ascii="Century Gothic" w:eastAsia="Century Gothic" w:hAnsi="Century Gothic" w:cs="Century Gothic"/>
        </w:rPr>
        <w:t>La presente demanda de amparo se interpone en tiempo y forma, de conformidad con lo dispuesto por los artículos 17 y 18 de la LAmp, los cuales establecen un plazo de quince días para la promoción del juicio, contados a partir del día siguiente a aquél en que la persona quejosa haya tenido conocimiento o se ostente sabedora del acto reclamado o de su ejecución.</w:t>
      </w:r>
    </w:p>
    <w:p w14:paraId="3AD8A883" w14:textId="77777777" w:rsidR="00001DF2" w:rsidRPr="00DE3BA9"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De conformidad con los artículos 35, fracción II, y 38 de la Ley Federal de Procedimiento Administrativo (en adelante, LFPA), de aplicación </w:t>
      </w:r>
      <w:r w:rsidRPr="00DE3BA9">
        <w:rPr>
          <w:rFonts w:ascii="Century Gothic" w:eastAsia="Century Gothic" w:hAnsi="Century Gothic" w:cs="Century Gothic"/>
        </w:rPr>
        <w:t>supletoria, las notificaciones por medios de comunicación electrónica surten sus efectos el día hábil siguiente.</w:t>
      </w:r>
    </w:p>
    <w:p w14:paraId="24C58933" w14:textId="439189A6" w:rsidR="00001DF2" w:rsidRPr="00DE3BA9" w:rsidRDefault="00000000">
      <w:pPr>
        <w:spacing w:line="360" w:lineRule="auto"/>
        <w:ind w:firstLine="1418"/>
        <w:jc w:val="both"/>
        <w:rPr>
          <w:rFonts w:ascii="Century Gothic" w:eastAsia="Century Gothic" w:hAnsi="Century Gothic" w:cs="Century Gothic"/>
        </w:rPr>
      </w:pPr>
      <w:r w:rsidRPr="00DE3BA9">
        <w:rPr>
          <w:rFonts w:ascii="Century Gothic" w:eastAsia="Century Gothic" w:hAnsi="Century Gothic" w:cs="Century Gothic"/>
        </w:rPr>
        <w:t xml:space="preserve">En el caso concreto, </w:t>
      </w:r>
      <w:r w:rsidR="009564D9">
        <w:rPr>
          <w:rFonts w:ascii="Century Gothic" w:eastAsia="Century Gothic" w:hAnsi="Century Gothic" w:cs="Century Gothic"/>
        </w:rPr>
        <w:t xml:space="preserve">conocí </w:t>
      </w:r>
      <w:r w:rsidRPr="00DE3BA9">
        <w:rPr>
          <w:rFonts w:ascii="Century Gothic" w:eastAsia="Century Gothic" w:hAnsi="Century Gothic" w:cs="Century Gothic"/>
        </w:rPr>
        <w:t xml:space="preserve">el acto reclamado, consistente en la suspensión de la línea telefónica, mediante </w:t>
      </w:r>
      <w:r w:rsidRPr="00CD67EE">
        <w:rPr>
          <w:rFonts w:ascii="Century Gothic" w:eastAsia="Century Gothic" w:hAnsi="Century Gothic" w:cs="Century Gothic"/>
          <w:b/>
          <w:bCs/>
        </w:rPr>
        <w:t>{{MEDIO_NOTIFICACION}}</w:t>
      </w:r>
      <w:r w:rsidRPr="00DE3BA9">
        <w:rPr>
          <w:rFonts w:ascii="Century Gothic" w:eastAsia="Century Gothic" w:hAnsi="Century Gothic" w:cs="Century Gothic"/>
        </w:rPr>
        <w:t xml:space="preserve"> el día </w:t>
      </w:r>
      <w:r w:rsidR="009C4D21" w:rsidRPr="00CD67EE">
        <w:rPr>
          <w:rFonts w:ascii="Century Gothic" w:eastAsia="Century Gothic" w:hAnsi="Century Gothic" w:cs="Century Gothic"/>
          <w:b/>
          <w:bCs/>
        </w:rPr>
        <w:t>{{FECHA_NOTIF_SUSPENSION}}</w:t>
      </w:r>
      <w:r w:rsidRPr="00DE3BA9">
        <w:rPr>
          <w:rFonts w:ascii="Century Gothic" w:eastAsia="Century Gothic" w:hAnsi="Century Gothic" w:cs="Century Gothic"/>
        </w:rPr>
        <w:t>.</w:t>
      </w:r>
    </w:p>
    <w:p w14:paraId="492D3AAD" w14:textId="1C64DBE7" w:rsidR="00001DF2" w:rsidRPr="00DE3BA9" w:rsidRDefault="00000000">
      <w:pPr>
        <w:spacing w:line="360" w:lineRule="auto"/>
        <w:ind w:firstLine="1418"/>
        <w:jc w:val="both"/>
        <w:rPr>
          <w:rFonts w:ascii="Century Gothic" w:eastAsia="Century Gothic" w:hAnsi="Century Gothic" w:cs="Century Gothic"/>
        </w:rPr>
      </w:pPr>
      <w:r w:rsidRPr="00DE3BA9">
        <w:rPr>
          <w:rFonts w:ascii="Century Gothic" w:eastAsia="Century Gothic" w:hAnsi="Century Gothic" w:cs="Century Gothic"/>
        </w:rPr>
        <w:t xml:space="preserve">En consecuencia, el cómputo del plazo para la interposición del presente juicio de amparo se realiza de la siguiente manera: a) </w:t>
      </w:r>
      <w:r w:rsidR="009C4D21" w:rsidRPr="00CD67EE">
        <w:rPr>
          <w:rFonts w:ascii="Century Gothic" w:eastAsia="Century Gothic" w:hAnsi="Century Gothic" w:cs="Century Gothic"/>
          <w:b/>
          <w:bCs/>
        </w:rPr>
        <w:t>{{FECHA_NOTIF_SUSPENSION}}</w:t>
      </w:r>
      <w:r w:rsidRPr="00DE3BA9">
        <w:rPr>
          <w:rFonts w:ascii="Century Gothic" w:eastAsia="Century Gothic" w:hAnsi="Century Gothic" w:cs="Century Gothic"/>
        </w:rPr>
        <w:t>, me hice sabedor</w:t>
      </w:r>
      <w:r w:rsidR="009564D9">
        <w:rPr>
          <w:rFonts w:ascii="Century Gothic" w:eastAsia="Century Gothic" w:hAnsi="Century Gothic" w:cs="Century Gothic"/>
        </w:rPr>
        <w:t>(a)</w:t>
      </w:r>
      <w:r w:rsidRPr="00DE3BA9">
        <w:rPr>
          <w:rFonts w:ascii="Century Gothic" w:eastAsia="Century Gothic" w:hAnsi="Century Gothic" w:cs="Century Gothic"/>
        </w:rPr>
        <w:t xml:space="preserve"> del acto reclamado vía </w:t>
      </w:r>
      <w:r w:rsidRPr="00CD67EE">
        <w:rPr>
          <w:rFonts w:ascii="Century Gothic" w:eastAsia="Century Gothic" w:hAnsi="Century Gothic" w:cs="Century Gothic"/>
          <w:b/>
          <w:bCs/>
        </w:rPr>
        <w:t>{{MEDIO_NOTIFICACION}}</w:t>
      </w:r>
      <w:r w:rsidRPr="00DE3BA9">
        <w:rPr>
          <w:rFonts w:ascii="Century Gothic" w:eastAsia="Century Gothic" w:hAnsi="Century Gothic" w:cs="Century Gothic"/>
        </w:rPr>
        <w:t xml:space="preserve">; b) </w:t>
      </w:r>
      <w:r w:rsidR="009C4D21" w:rsidRPr="00CD67EE">
        <w:rPr>
          <w:rFonts w:ascii="Century Gothic" w:eastAsia="Century Gothic" w:hAnsi="Century Gothic" w:cs="Century Gothic"/>
          <w:b/>
          <w:bCs/>
        </w:rPr>
        <w:t>{{FECHA_SURTE_EFECTOS}}</w:t>
      </w:r>
      <w:r w:rsidRPr="00DE3BA9">
        <w:rPr>
          <w:rFonts w:ascii="Century Gothic" w:eastAsia="Century Gothic" w:hAnsi="Century Gothic" w:cs="Century Gothic"/>
        </w:rPr>
        <w:t xml:space="preserve">, surte efectos la notificación; y, c) </w:t>
      </w:r>
      <w:r w:rsidR="009C4D21" w:rsidRPr="00CD67EE">
        <w:rPr>
          <w:rFonts w:ascii="Century Gothic" w:eastAsia="Century Gothic" w:hAnsi="Century Gothic" w:cs="Century Gothic"/>
          <w:b/>
          <w:bCs/>
        </w:rPr>
        <w:t>{{FECHA_EMPIEZA_PLAZO}}</w:t>
      </w:r>
      <w:r w:rsidRPr="00DE3BA9">
        <w:rPr>
          <w:rFonts w:ascii="Century Gothic" w:eastAsia="Century Gothic" w:hAnsi="Century Gothic" w:cs="Century Gothic"/>
        </w:rPr>
        <w:t>, inicia el cómputo del plazo de quince días.</w:t>
      </w:r>
    </w:p>
    <w:p w14:paraId="6730CDD2" w14:textId="32C68CC1" w:rsidR="00001DF2" w:rsidRPr="00DE3BA9" w:rsidRDefault="00000000">
      <w:pPr>
        <w:spacing w:line="360" w:lineRule="auto"/>
        <w:ind w:firstLine="1418"/>
        <w:jc w:val="both"/>
        <w:rPr>
          <w:rFonts w:ascii="Century Gothic" w:eastAsia="Century Gothic" w:hAnsi="Century Gothic" w:cs="Century Gothic"/>
        </w:rPr>
      </w:pPr>
      <w:r w:rsidRPr="00DE3BA9">
        <w:rPr>
          <w:rFonts w:ascii="Century Gothic" w:eastAsia="Century Gothic" w:hAnsi="Century Gothic" w:cs="Century Gothic"/>
        </w:rPr>
        <w:t xml:space="preserve">Por lo tanto, el </w:t>
      </w:r>
      <w:r w:rsidR="00CD67EE">
        <w:rPr>
          <w:rFonts w:ascii="Century Gothic" w:eastAsia="Century Gothic" w:hAnsi="Century Gothic" w:cs="Century Gothic"/>
        </w:rPr>
        <w:t xml:space="preserve">último día </w:t>
      </w:r>
      <w:r w:rsidRPr="00DE3BA9">
        <w:rPr>
          <w:rFonts w:ascii="Century Gothic" w:eastAsia="Century Gothic" w:hAnsi="Century Gothic" w:cs="Century Gothic"/>
        </w:rPr>
        <w:t xml:space="preserve">para la interposición del juicio de amparo </w:t>
      </w:r>
      <w:r w:rsidR="00CD67EE">
        <w:rPr>
          <w:rFonts w:ascii="Century Gothic" w:eastAsia="Century Gothic" w:hAnsi="Century Gothic" w:cs="Century Gothic"/>
        </w:rPr>
        <w:t>es el</w:t>
      </w:r>
      <w:r w:rsidRPr="00DE3BA9">
        <w:rPr>
          <w:rFonts w:ascii="Century Gothic" w:eastAsia="Century Gothic" w:hAnsi="Century Gothic" w:cs="Century Gothic"/>
        </w:rPr>
        <w:t xml:space="preserve"> </w:t>
      </w:r>
      <w:r w:rsidR="00EB6716" w:rsidRPr="00CD67EE">
        <w:rPr>
          <w:rFonts w:ascii="Century Gothic" w:eastAsia="Century Gothic" w:hAnsi="Century Gothic" w:cs="Century Gothic"/>
          <w:b/>
          <w:bCs/>
        </w:rPr>
        <w:t>{{COMPUTO_FINAL}}</w:t>
      </w:r>
      <w:r w:rsidR="00435366">
        <w:rPr>
          <w:rFonts w:ascii="Century Gothic" w:eastAsia="Century Gothic" w:hAnsi="Century Gothic" w:cs="Century Gothic"/>
        </w:rPr>
        <w:t xml:space="preserve">, por lo que es </w:t>
      </w:r>
      <w:r w:rsidRPr="00DE3BA9">
        <w:rPr>
          <w:rFonts w:ascii="Century Gothic" w:eastAsia="Century Gothic" w:hAnsi="Century Gothic" w:cs="Century Gothic"/>
        </w:rPr>
        <w:t>evidente su oportunidad.</w:t>
      </w:r>
    </w:p>
    <w:p w14:paraId="5654DC5C" w14:textId="699BD8E7" w:rsidR="00001DF2" w:rsidRPr="00A555A1" w:rsidRDefault="00000000">
      <w:pPr>
        <w:spacing w:line="360" w:lineRule="auto"/>
        <w:jc w:val="both"/>
        <w:rPr>
          <w:rFonts w:ascii="Century Gothic" w:eastAsia="Century Gothic" w:hAnsi="Century Gothic" w:cs="Century Gothic"/>
        </w:rPr>
      </w:pPr>
      <w:r w:rsidRPr="00A555A1">
        <w:rPr>
          <w:rFonts w:ascii="Century Gothic" w:eastAsia="Century Gothic" w:hAnsi="Century Gothic" w:cs="Century Gothic"/>
          <w:b/>
          <w:bCs/>
        </w:rPr>
        <w:t>PROCEDENCIA.</w:t>
      </w:r>
      <w:r w:rsidRPr="00A555A1">
        <w:rPr>
          <w:rFonts w:ascii="Century Gothic" w:eastAsia="Century Gothic" w:hAnsi="Century Gothic" w:cs="Century Gothic"/>
        </w:rPr>
        <w:t xml:space="preserve"> La presente demanda de amparo indirecto resulta plenamente procedente de conformidad con el artículo 107, fracción I, de la LAmp, toda vez que se impugna un sistema normativo general, en particular los artículos 103, 164, fracción III y 183, de la Ley en Materia de Telecomunicaciones y Radiodifusión (en adelante, LMTR) publicada en el </w:t>
      </w:r>
      <w:r w:rsidRPr="00A555A1">
        <w:rPr>
          <w:rFonts w:ascii="Century Gothic" w:eastAsia="Century Gothic" w:hAnsi="Century Gothic" w:cs="Century Gothic"/>
        </w:rPr>
        <w:lastRenderedPageBreak/>
        <w:t>D.O.F. el día 16 de julio de 2025</w:t>
      </w:r>
      <w:r w:rsidR="00524841" w:rsidRPr="00A555A1">
        <w:rPr>
          <w:rFonts w:ascii="Century Gothic" w:eastAsia="Century Gothic" w:hAnsi="Century Gothic" w:cs="Century Gothic"/>
        </w:rPr>
        <w:t xml:space="preserve">, así como contra los </w:t>
      </w:r>
      <w:r w:rsidR="00524841" w:rsidRPr="00A555A1">
        <w:rPr>
          <w:rFonts w:ascii="Century Gothic" w:eastAsia="Century Gothic" w:hAnsi="Century Gothic" w:cs="Century Gothic"/>
          <w:i/>
          <w:iCs/>
        </w:rPr>
        <w:t>Lineamientos para la Identificación de Líneas Telefónicas Móviles</w:t>
      </w:r>
      <w:r w:rsidR="00524841" w:rsidRPr="00A555A1">
        <w:rPr>
          <w:rFonts w:ascii="Century Gothic" w:eastAsia="Century Gothic" w:hAnsi="Century Gothic" w:cs="Century Gothic"/>
        </w:rPr>
        <w:t xml:space="preserve"> y su modificación (en adelante, los Lineamientos), publicados en el Diario Oficial de la Federación los días 9 de diciembre de 2025 y 30 de junio de 2026, respectivamente, con motivo de su primer acto de aplicación.</w:t>
      </w:r>
    </w:p>
    <w:p w14:paraId="41FBDA68" w14:textId="5434FBF9" w:rsidR="00524841" w:rsidRPr="00A555A1" w:rsidRDefault="00524841" w:rsidP="00524841">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En efecto, nos encontramos frente a disposiciones de naturaleza heteroaplicativa, pues las obligaciones de hacer o no hacer que imponen requieren de un acto ulterior para actualizar el perjuicio material en la esfera jurídica de la quejosa. Dicho acto se concretó en la suspensión de su servicio de telefonía móvil por parte de la concesionaria responsable, lo que constituye el momento preciso en que se individualiza el agravio y se actualiza la afectación directa a su esfera de derechos.</w:t>
      </w:r>
    </w:p>
    <w:p w14:paraId="09C9D178" w14:textId="53D04223" w:rsidR="00F0254B" w:rsidRPr="00A555A1" w:rsidRDefault="00F0254B" w:rsidP="00F0254B">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Sirve de sustento a lo anterior la jurisprudencia P./J. 55/97</w:t>
      </w:r>
      <w:r w:rsidRPr="00A555A1">
        <w:rPr>
          <w:rFonts w:ascii="Century Gothic" w:eastAsia="Century Gothic" w:hAnsi="Century Gothic" w:cs="Century Gothic"/>
          <w:vertAlign w:val="superscript"/>
        </w:rPr>
        <w:footnoteReference w:id="2"/>
      </w:r>
      <w:r w:rsidRPr="00A555A1">
        <w:rPr>
          <w:rFonts w:ascii="Century Gothic" w:eastAsia="Century Gothic" w:hAnsi="Century Gothic" w:cs="Century Gothic"/>
        </w:rPr>
        <w:t xml:space="preserve">, emitida por el Tribunal Pleno de la Suprema Corte de Justicia de la Nación (en adelante, SCJN), de rubro: </w:t>
      </w:r>
      <w:r w:rsidRPr="00A555A1">
        <w:rPr>
          <w:rFonts w:ascii="Century Gothic" w:eastAsia="Century Gothic" w:hAnsi="Century Gothic" w:cs="Century Gothic"/>
          <w:i/>
          <w:iCs/>
        </w:rPr>
        <w:t>“Leyes autoaplicativas y heteroaplicativas. Distinción basada en el concepto de individualización incondicionada”</w:t>
      </w:r>
      <w:r w:rsidRPr="00A555A1">
        <w:rPr>
          <w:rFonts w:ascii="Century Gothic" w:eastAsia="Century Gothic" w:hAnsi="Century Gothic" w:cs="Century Gothic"/>
        </w:rPr>
        <w:t>, en la que se establece que las normas heteroaplicativas sólo producen efectos jurídicos lesivos cuando se actualiza la condición que las individualiza en perjuicio del gobernado. En el mismo sentido,</w:t>
      </w:r>
      <w:r w:rsidR="00067C73" w:rsidRPr="00A555A1">
        <w:rPr>
          <w:rFonts w:ascii="Century Gothic" w:eastAsia="Century Gothic" w:hAnsi="Century Gothic" w:cs="Century Gothic"/>
        </w:rPr>
        <w:t xml:space="preserve"> por analogía,</w:t>
      </w:r>
      <w:r w:rsidRPr="00A555A1">
        <w:rPr>
          <w:rFonts w:ascii="Century Gothic" w:eastAsia="Century Gothic" w:hAnsi="Century Gothic" w:cs="Century Gothic"/>
        </w:rPr>
        <w:t xml:space="preserve"> la Segunda Sala de la SCJN, en la jurisprudencia 2a./J. 25/2011 (10a.)</w:t>
      </w:r>
      <w:r w:rsidRPr="00A555A1">
        <w:rPr>
          <w:rStyle w:val="Refdenotaalpie"/>
          <w:rFonts w:ascii="Century Gothic" w:eastAsia="Century Gothic" w:hAnsi="Century Gothic" w:cs="Century Gothic"/>
        </w:rPr>
        <w:footnoteReference w:id="3"/>
      </w:r>
      <w:r w:rsidRPr="00A555A1">
        <w:rPr>
          <w:rFonts w:ascii="Century Gothic" w:eastAsia="Century Gothic" w:hAnsi="Century Gothic" w:cs="Century Gothic"/>
        </w:rPr>
        <w:t xml:space="preserve">, precisó que el término </w:t>
      </w:r>
      <w:r w:rsidRPr="00A555A1">
        <w:rPr>
          <w:rFonts w:ascii="Century Gothic" w:eastAsia="Century Gothic" w:hAnsi="Century Gothic" w:cs="Century Gothic"/>
        </w:rPr>
        <w:lastRenderedPageBreak/>
        <w:t>para promover el juicio de amparo contra normas heteroaplicativas corre a partir del momento en que se materializa la afectación concreta en la esfera jurídica del quejoso.</w:t>
      </w:r>
    </w:p>
    <w:p w14:paraId="1E75A55D" w14:textId="413AF6E5" w:rsidR="00F0254B" w:rsidRPr="00A555A1" w:rsidRDefault="00F0254B" w:rsidP="00F0254B">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Así, tomando en consideración que fue hasta la suspensión de la línea telefónica cuando se configuró la afectación jurídica de </w:t>
      </w:r>
      <w:r w:rsidR="00067C73" w:rsidRPr="00A555A1">
        <w:rPr>
          <w:rFonts w:ascii="Century Gothic" w:eastAsia="Century Gothic" w:hAnsi="Century Gothic" w:cs="Century Gothic"/>
        </w:rPr>
        <w:t xml:space="preserve">esta parte </w:t>
      </w:r>
      <w:r w:rsidRPr="00A555A1">
        <w:rPr>
          <w:rFonts w:ascii="Century Gothic" w:eastAsia="Century Gothic" w:hAnsi="Century Gothic" w:cs="Century Gothic"/>
        </w:rPr>
        <w:t>quejosa, es claro que la demanda de amparo indirecto se promovió en tiempo y forma, resultando plenamente procedente conforme al marco constitucional y jurisprudencial aplicable.</w:t>
      </w:r>
    </w:p>
    <w:p w14:paraId="7E4189A2" w14:textId="3D2D461F"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Asimismo, la procedencia se actualiza de manera indubitable toda vez que la concesionaria </w:t>
      </w:r>
      <w:r w:rsidR="00067C73" w:rsidRPr="00A555A1">
        <w:rPr>
          <w:rFonts w:ascii="Century Gothic" w:eastAsia="Century Gothic" w:hAnsi="Century Gothic" w:cs="Century Gothic"/>
        </w:rPr>
        <w:t>responsable,</w:t>
      </w:r>
      <w:r w:rsidRPr="00A555A1">
        <w:rPr>
          <w:rFonts w:ascii="Century Gothic" w:eastAsia="Century Gothic" w:hAnsi="Century Gothic" w:cs="Century Gothic"/>
        </w:rPr>
        <w:t xml:space="preserve"> quien ejecutó el acto material de suspensión de la línea telefónica</w:t>
      </w:r>
      <w:r w:rsidR="00067C73" w:rsidRPr="00A555A1">
        <w:rPr>
          <w:rFonts w:ascii="Century Gothic" w:eastAsia="Century Gothic" w:hAnsi="Century Gothic" w:cs="Century Gothic"/>
        </w:rPr>
        <w:t>,</w:t>
      </w:r>
      <w:r w:rsidRPr="00A555A1">
        <w:rPr>
          <w:rFonts w:ascii="Century Gothic" w:eastAsia="Century Gothic" w:hAnsi="Century Gothic" w:cs="Century Gothic"/>
        </w:rPr>
        <w:t xml:space="preserve"> reviste el carácter de autoridad para efectos del juicio de amparo, en estricta observancia del artículo 5º, fracción II, de la LAmp. Lo anterior es así, ya que dicho particular realizó actos equivalentes a los de autoridad, dictando, ordenando y ejecutando la suspensión unilateral del servicio de comunicación con base en una habilitación y mandato expreso establecido en la LMTR y en los Lineamientos, afectando directamente mis derechos fundamentales en una relación de supra a subordinación y dotando al acto de imperio, unilateralidad y coercitividad.</w:t>
      </w:r>
    </w:p>
    <w:p w14:paraId="334A09E2" w14:textId="516A1EAB" w:rsidR="00001DF2" w:rsidRPr="00A555A1" w:rsidRDefault="00000000">
      <w:pPr>
        <w:spacing w:line="360" w:lineRule="auto"/>
        <w:jc w:val="both"/>
        <w:rPr>
          <w:rFonts w:ascii="Century Gothic" w:eastAsia="Century Gothic" w:hAnsi="Century Gothic" w:cs="Century Gothic"/>
        </w:rPr>
      </w:pPr>
      <w:r w:rsidRPr="00A555A1">
        <w:rPr>
          <w:rFonts w:ascii="Century Gothic" w:eastAsia="Century Gothic" w:hAnsi="Century Gothic" w:cs="Century Gothic"/>
          <w:b/>
          <w:bCs/>
        </w:rPr>
        <w:t>COMPETENCIA.</w:t>
      </w:r>
      <w:r w:rsidRPr="00A555A1">
        <w:rPr>
          <w:rFonts w:ascii="Century Gothic" w:eastAsia="Century Gothic" w:hAnsi="Century Gothic" w:cs="Century Gothic"/>
        </w:rPr>
        <w:t xml:space="preserve"> Con fundamento</w:t>
      </w:r>
      <w:r w:rsidR="001D5DC9" w:rsidRPr="00A555A1">
        <w:rPr>
          <w:rFonts w:ascii="Century Gothic" w:eastAsia="Century Gothic" w:hAnsi="Century Gothic" w:cs="Century Gothic"/>
        </w:rPr>
        <w:t xml:space="preserve"> en el artículo 107, fracción VII, de la CPEUM, los artículos 37 y 38 de la LAmp</w:t>
      </w:r>
      <w:r w:rsidR="004C3477" w:rsidRPr="00A555A1">
        <w:rPr>
          <w:rFonts w:ascii="Century Gothic" w:eastAsia="Century Gothic" w:hAnsi="Century Gothic" w:cs="Century Gothic"/>
        </w:rPr>
        <w:t xml:space="preserve">, así como el </w:t>
      </w:r>
      <w:r w:rsidRPr="00A555A1">
        <w:rPr>
          <w:rFonts w:ascii="Century Gothic" w:eastAsia="Century Gothic" w:hAnsi="Century Gothic" w:cs="Century Gothic"/>
        </w:rPr>
        <w:t>Acuerdo General 8/2025 del Pleno del Consejo de la Judicatura Federal, publicado en el D.O.F. el día 30 de junio de 202</w:t>
      </w:r>
      <w:r w:rsidR="004C3477" w:rsidRPr="00A555A1">
        <w:rPr>
          <w:rFonts w:ascii="Century Gothic" w:eastAsia="Century Gothic" w:hAnsi="Century Gothic" w:cs="Century Gothic"/>
        </w:rPr>
        <w:t>5</w:t>
      </w:r>
      <w:r w:rsidRPr="00A555A1">
        <w:rPr>
          <w:rFonts w:ascii="Century Gothic" w:eastAsia="Century Gothic" w:hAnsi="Century Gothic" w:cs="Century Gothic"/>
        </w:rPr>
        <w:t xml:space="preserve">, </w:t>
      </w:r>
      <w:r w:rsidR="004C3477" w:rsidRPr="00A555A1">
        <w:rPr>
          <w:rFonts w:ascii="Century Gothic" w:eastAsia="Century Gothic" w:hAnsi="Century Gothic" w:cs="Century Gothic"/>
        </w:rPr>
        <w:t xml:space="preserve">este H. Juzgado de Distrito resulta legal y materialmente competente para conocer del presente juicio de garantías, al estar dotado de jurisdicción especializada en materia de Acceso a la Información Pública y </w:t>
      </w:r>
      <w:r w:rsidR="004C3477" w:rsidRPr="00A555A1">
        <w:rPr>
          <w:rFonts w:ascii="Century Gothic" w:eastAsia="Century Gothic" w:hAnsi="Century Gothic" w:cs="Century Gothic"/>
          <w:b/>
          <w:bCs/>
        </w:rPr>
        <w:t>Protección de Datos Personales</w:t>
      </w:r>
      <w:r w:rsidRPr="00A555A1">
        <w:rPr>
          <w:rFonts w:ascii="Century Gothic" w:eastAsia="Century Gothic" w:hAnsi="Century Gothic" w:cs="Century Gothic"/>
        </w:rPr>
        <w:t>.</w:t>
      </w:r>
    </w:p>
    <w:p w14:paraId="3D4DB8EA" w14:textId="374D6C4C" w:rsidR="004C3477" w:rsidRPr="00A555A1" w:rsidRDefault="004C3477" w:rsidP="004C3477">
      <w:pPr>
        <w:spacing w:line="360" w:lineRule="auto"/>
        <w:ind w:firstLine="851"/>
        <w:jc w:val="both"/>
        <w:rPr>
          <w:rFonts w:ascii="Century Gothic" w:eastAsia="Century Gothic" w:hAnsi="Century Gothic" w:cs="Century Gothic"/>
        </w:rPr>
      </w:pPr>
      <w:r w:rsidRPr="00A555A1">
        <w:rPr>
          <w:rFonts w:ascii="Century Gothic" w:eastAsia="Century Gothic" w:hAnsi="Century Gothic" w:cs="Century Gothic"/>
        </w:rPr>
        <w:lastRenderedPageBreak/>
        <w:t xml:space="preserve">No pasa inadvertido para esta parte quejosa que el </w:t>
      </w:r>
      <w:r w:rsidRPr="00A555A1">
        <w:rPr>
          <w:rFonts w:ascii="Century Gothic" w:eastAsia="Century Gothic" w:hAnsi="Century Gothic" w:cs="Century Gothic"/>
          <w:b/>
          <w:bCs/>
        </w:rPr>
        <w:t>artículo 298</w:t>
      </w:r>
      <w:r w:rsidRPr="00A555A1">
        <w:rPr>
          <w:rStyle w:val="Refdenotaalpie"/>
          <w:rFonts w:ascii="Century Gothic" w:eastAsia="Century Gothic" w:hAnsi="Century Gothic" w:cs="Century Gothic"/>
        </w:rPr>
        <w:footnoteReference w:id="4"/>
      </w:r>
      <w:r w:rsidRPr="00A555A1">
        <w:rPr>
          <w:rFonts w:ascii="Century Gothic" w:eastAsia="Century Gothic" w:hAnsi="Century Gothic" w:cs="Century Gothic"/>
        </w:rPr>
        <w:t xml:space="preserve"> de la LMTR dispone como regla general que los juicios de amparo indirecto serán sustanciados por los jueces y tribunales especializados en la materia de competencia, telecomunicaciones y radiodifusión. Asimismo, el </w:t>
      </w:r>
      <w:r w:rsidRPr="00A555A1">
        <w:rPr>
          <w:rFonts w:ascii="Century Gothic" w:eastAsia="Century Gothic" w:hAnsi="Century Gothic" w:cs="Century Gothic"/>
          <w:b/>
          <w:bCs/>
        </w:rPr>
        <w:t>artículo 296</w:t>
      </w:r>
      <w:r w:rsidRPr="00A555A1">
        <w:rPr>
          <w:rStyle w:val="Refdenotaalpie"/>
          <w:rFonts w:ascii="Century Gothic" w:eastAsia="Century Gothic" w:hAnsi="Century Gothic" w:cs="Century Gothic"/>
          <w:b/>
          <w:bCs/>
        </w:rPr>
        <w:footnoteReference w:id="5"/>
      </w:r>
      <w:r w:rsidRPr="00A555A1">
        <w:rPr>
          <w:rFonts w:ascii="Century Gothic" w:eastAsia="Century Gothic" w:hAnsi="Century Gothic" w:cs="Century Gothic"/>
        </w:rPr>
        <w:t xml:space="preserve"> del mismo ordenamiento señala expresamente que las normas generales, actos u omisiones de la Comisión podrán ser impugnadas únicamente mediante el juicio de amparo indirecto.</w:t>
      </w:r>
    </w:p>
    <w:p w14:paraId="328E31A0" w14:textId="26712C49" w:rsidR="004C3477" w:rsidRPr="00A555A1" w:rsidRDefault="004C3477" w:rsidP="004C3477">
      <w:pPr>
        <w:spacing w:line="360" w:lineRule="auto"/>
        <w:ind w:firstLine="851"/>
        <w:jc w:val="both"/>
        <w:rPr>
          <w:rFonts w:ascii="Century Gothic" w:eastAsia="Century Gothic" w:hAnsi="Century Gothic" w:cs="Century Gothic"/>
        </w:rPr>
      </w:pPr>
      <w:r w:rsidRPr="00A555A1">
        <w:rPr>
          <w:rFonts w:ascii="Century Gothic" w:eastAsia="Century Gothic" w:hAnsi="Century Gothic" w:cs="Century Gothic"/>
        </w:rPr>
        <w:t xml:space="preserve">Sin embargo, </w:t>
      </w:r>
      <w:r w:rsidRPr="00A555A1">
        <w:rPr>
          <w:rFonts w:ascii="Century Gothic" w:eastAsia="Century Gothic" w:hAnsi="Century Gothic" w:cs="Century Gothic"/>
          <w:b/>
          <w:bCs/>
        </w:rPr>
        <w:t>dicha regla general de competencia material en favor de los juzgados de telecomunicaciones cede de manera inobjetable en el presente caso</w:t>
      </w:r>
      <w:r w:rsidRPr="00A555A1">
        <w:rPr>
          <w:rFonts w:ascii="Century Gothic" w:eastAsia="Century Gothic" w:hAnsi="Century Gothic" w:cs="Century Gothic"/>
        </w:rPr>
        <w:t xml:space="preserve">, en virtud de que en este amparo </w:t>
      </w:r>
      <w:r w:rsidRPr="00A555A1">
        <w:rPr>
          <w:rFonts w:ascii="Century Gothic" w:eastAsia="Century Gothic" w:hAnsi="Century Gothic" w:cs="Century Gothic"/>
          <w:b/>
          <w:bCs/>
        </w:rPr>
        <w:t>se reclaman normas generales</w:t>
      </w:r>
      <w:r w:rsidRPr="00A555A1">
        <w:rPr>
          <w:rFonts w:ascii="Century Gothic" w:eastAsia="Century Gothic" w:hAnsi="Century Gothic" w:cs="Century Gothic"/>
        </w:rPr>
        <w:t xml:space="preserve"> (el artículo 103 de la LMTR y los Lineamientos de la CRT), cuya aplicación coactiva condiciona el acceso a las telecomunicaciones a la entrega forzosa de los datos personales y datos personales sensibles de la parte quejosa.</w:t>
      </w:r>
    </w:p>
    <w:p w14:paraId="0AB3AD5D" w14:textId="0A3C0BD7" w:rsidR="004C3477" w:rsidRPr="00A555A1" w:rsidRDefault="004C3477" w:rsidP="004C3477">
      <w:pPr>
        <w:spacing w:line="360" w:lineRule="auto"/>
        <w:ind w:firstLine="851"/>
        <w:jc w:val="both"/>
        <w:rPr>
          <w:rFonts w:ascii="Century Gothic" w:eastAsia="Century Gothic" w:hAnsi="Century Gothic" w:cs="Century Gothic"/>
        </w:rPr>
      </w:pPr>
      <w:r w:rsidRPr="00A555A1">
        <w:rPr>
          <w:rFonts w:ascii="Century Gothic" w:eastAsia="Century Gothic" w:hAnsi="Century Gothic" w:cs="Century Gothic"/>
        </w:rPr>
        <w:t xml:space="preserve">Al tratarse de la impugnación de normas generales, resulta estrictamente aplicable la excepción al parámetro de competencia fijada por la Segunda Sala de la SCJN al resolver la </w:t>
      </w:r>
      <w:r w:rsidRPr="00A555A1">
        <w:rPr>
          <w:rFonts w:ascii="Century Gothic" w:eastAsia="Century Gothic" w:hAnsi="Century Gothic" w:cs="Century Gothic"/>
          <w:b/>
          <w:bCs/>
        </w:rPr>
        <w:t>Contradicción de Tesis 37/2019</w:t>
      </w:r>
      <w:r w:rsidR="00E8315A" w:rsidRPr="00A555A1">
        <w:rPr>
          <w:rStyle w:val="Refdenotaalpie"/>
          <w:rFonts w:ascii="Century Gothic" w:eastAsia="Century Gothic" w:hAnsi="Century Gothic" w:cs="Century Gothic"/>
          <w:b/>
          <w:bCs/>
        </w:rPr>
        <w:footnoteReference w:id="6"/>
      </w:r>
      <w:r w:rsidRPr="00A555A1">
        <w:rPr>
          <w:rFonts w:ascii="Century Gothic" w:eastAsia="Century Gothic" w:hAnsi="Century Gothic" w:cs="Century Gothic"/>
        </w:rPr>
        <w:t xml:space="preserve"> (retomada por diversos Tribunales Colegiados, como en la </w:t>
      </w:r>
      <w:r w:rsidRPr="00A555A1">
        <w:rPr>
          <w:rFonts w:ascii="Century Gothic" w:eastAsia="Century Gothic" w:hAnsi="Century Gothic" w:cs="Century Gothic"/>
          <w:i/>
          <w:iCs/>
        </w:rPr>
        <w:t>Queja 411/2025</w:t>
      </w:r>
      <w:r w:rsidR="00E8315A" w:rsidRPr="00A555A1">
        <w:rPr>
          <w:rStyle w:val="Refdenotaalpie"/>
          <w:rFonts w:ascii="Century Gothic" w:eastAsia="Century Gothic" w:hAnsi="Century Gothic" w:cs="Century Gothic"/>
          <w:i/>
          <w:iCs/>
        </w:rPr>
        <w:footnoteReference w:id="7"/>
      </w:r>
      <w:r w:rsidRPr="00A555A1">
        <w:rPr>
          <w:rFonts w:ascii="Century Gothic" w:eastAsia="Century Gothic" w:hAnsi="Century Gothic" w:cs="Century Gothic"/>
        </w:rPr>
        <w:t xml:space="preserve">). En dicho precedente vinculante, el Máximo Tribunal determinó que la regla general de fijar la competencia atendiendo a la naturaleza de la autoridad responsable o al título de la ley (como lo pretende el artículo 298 de la LMTR) </w:t>
      </w:r>
      <w:r w:rsidRPr="00A555A1">
        <w:rPr>
          <w:rFonts w:ascii="Century Gothic" w:eastAsia="Century Gothic" w:hAnsi="Century Gothic" w:cs="Century Gothic"/>
          <w:b/>
          <w:bCs/>
        </w:rPr>
        <w:t>no aplica tratándose del reclamo de normas generales</w:t>
      </w:r>
      <w:r w:rsidRPr="00A555A1">
        <w:rPr>
          <w:rFonts w:ascii="Century Gothic" w:eastAsia="Century Gothic" w:hAnsi="Century Gothic" w:cs="Century Gothic"/>
        </w:rPr>
        <w:t xml:space="preserve">, sino que el único </w:t>
      </w:r>
      <w:r w:rsidRPr="00A555A1">
        <w:rPr>
          <w:rFonts w:ascii="Century Gothic" w:eastAsia="Century Gothic" w:hAnsi="Century Gothic" w:cs="Century Gothic"/>
        </w:rPr>
        <w:lastRenderedPageBreak/>
        <w:t xml:space="preserve">parámetro válido para definir la competencia por razón de materia es </w:t>
      </w:r>
      <w:r w:rsidRPr="00A555A1">
        <w:rPr>
          <w:rFonts w:ascii="Century Gothic" w:eastAsia="Century Gothic" w:hAnsi="Century Gothic" w:cs="Century Gothic"/>
          <w:b/>
          <w:bCs/>
        </w:rPr>
        <w:t>"el bien jurídico o interés fundamental sobre el que versan las disposiciones jurídicas reclamadas"</w:t>
      </w:r>
      <w:r w:rsidR="003D3D59" w:rsidRPr="00A555A1">
        <w:rPr>
          <w:rFonts w:ascii="Century Gothic" w:eastAsia="Century Gothic" w:hAnsi="Century Gothic" w:cs="Century Gothic"/>
        </w:rPr>
        <w:t>, tal y como se observa en la ejecutoria de la Contradicción de Tesis 37/2019, en particular en los siguientes párrafos:</w:t>
      </w:r>
    </w:p>
    <w:p w14:paraId="665BAB82" w14:textId="77777777" w:rsidR="003D3D59" w:rsidRPr="00A555A1" w:rsidRDefault="003D3D59" w:rsidP="003D3D59">
      <w:pPr>
        <w:spacing w:line="360" w:lineRule="auto"/>
        <w:ind w:left="851" w:right="618"/>
        <w:jc w:val="both"/>
        <w:rPr>
          <w:rFonts w:ascii="Century Gothic" w:eastAsia="Century Gothic" w:hAnsi="Century Gothic" w:cs="Century Gothic"/>
          <w:sz w:val="20"/>
          <w:szCs w:val="20"/>
        </w:rPr>
      </w:pPr>
      <w:r w:rsidRPr="00A555A1">
        <w:rPr>
          <w:rFonts w:ascii="Century Gothic" w:eastAsia="Century Gothic" w:hAnsi="Century Gothic" w:cs="Century Gothic"/>
          <w:sz w:val="20"/>
          <w:szCs w:val="20"/>
        </w:rPr>
        <w:t>12. A efecto de solucionar la presente contradicción de tesis, es necesario dar respuesta a la interrogante siguiente: ¿qué órgano jurisdiccional es legalmente competente, por razón de la materia, para conocer de los casos derivados de la impugnación del decreto por el que reforman y adicionan, entre otros, los artículos 75 y 127 de la Constitución Federal publicado en el DOF el 24 de agosto de 2009 y el decreto que expide la Ley de Remuneraciones y se adicionan al Código Penal Federal los artículos 217 Bis y Ter, publicado en el DOF el 5 de noviembre de 2018?</w:t>
      </w:r>
    </w:p>
    <w:p w14:paraId="710207EC" w14:textId="77777777" w:rsidR="003D3D59" w:rsidRPr="00A555A1" w:rsidRDefault="003D3D59" w:rsidP="003D3D59">
      <w:pPr>
        <w:spacing w:line="360" w:lineRule="auto"/>
        <w:ind w:left="851" w:right="618"/>
        <w:jc w:val="both"/>
        <w:rPr>
          <w:rFonts w:ascii="Century Gothic" w:eastAsia="Century Gothic" w:hAnsi="Century Gothic" w:cs="Century Gothic"/>
          <w:sz w:val="20"/>
          <w:szCs w:val="20"/>
        </w:rPr>
      </w:pPr>
      <w:r w:rsidRPr="00A555A1">
        <w:rPr>
          <w:rFonts w:ascii="Century Gothic" w:eastAsia="Century Gothic" w:hAnsi="Century Gothic" w:cs="Century Gothic"/>
          <w:sz w:val="20"/>
          <w:szCs w:val="20"/>
        </w:rPr>
        <w:t>13. Para atender la interrogante anterior, es preciso en primer término responder a su vez la pregunta siguiente: ¿cuál es el parámetro para establecer la competencia por materia tratándose del reclamo de normas generales?</w:t>
      </w:r>
    </w:p>
    <w:p w14:paraId="389CDC2A" w14:textId="2A6463C5" w:rsidR="003D3D59" w:rsidRPr="00A555A1" w:rsidRDefault="003D3D59" w:rsidP="003D3D59">
      <w:pPr>
        <w:spacing w:line="360" w:lineRule="auto"/>
        <w:ind w:left="851" w:right="618"/>
        <w:jc w:val="both"/>
        <w:rPr>
          <w:rFonts w:ascii="Century Gothic" w:eastAsia="Century Gothic" w:hAnsi="Century Gothic" w:cs="Century Gothic"/>
          <w:sz w:val="20"/>
          <w:szCs w:val="20"/>
        </w:rPr>
      </w:pPr>
      <w:r w:rsidRPr="00A555A1">
        <w:rPr>
          <w:rFonts w:ascii="Century Gothic" w:eastAsia="Century Gothic" w:hAnsi="Century Gothic" w:cs="Century Gothic"/>
          <w:sz w:val="20"/>
          <w:szCs w:val="20"/>
        </w:rPr>
        <w:t>14. A juicio de esta Sala, ese parámetro lo es el bien jurídico o interés fundamental sobre el que versan las disposiciones reclamadas.</w:t>
      </w:r>
    </w:p>
    <w:p w14:paraId="3A69EAA9" w14:textId="64DCFE41"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Esta competencia especializada por materia se surte y justifica plenamente en el presente asunto, toda vez que el acto reclamado —la</w:t>
      </w:r>
      <w:r w:rsidR="00067F91">
        <w:rPr>
          <w:rFonts w:ascii="Century Gothic" w:eastAsia="Century Gothic" w:hAnsi="Century Gothic" w:cs="Century Gothic"/>
        </w:rPr>
        <w:t xml:space="preserve"> inhabilitación, desvinculación o</w:t>
      </w:r>
      <w:r w:rsidRPr="00A555A1">
        <w:rPr>
          <w:rFonts w:ascii="Century Gothic" w:eastAsia="Century Gothic" w:hAnsi="Century Gothic" w:cs="Century Gothic"/>
        </w:rPr>
        <w:t xml:space="preserve"> suspensión </w:t>
      </w:r>
      <w:r w:rsidR="00067F91" w:rsidRPr="00A555A1">
        <w:rPr>
          <w:rFonts w:ascii="Century Gothic" w:eastAsia="Century Gothic" w:hAnsi="Century Gothic" w:cs="Century Gothic"/>
        </w:rPr>
        <w:t>de</w:t>
      </w:r>
      <w:r w:rsidR="00067F91">
        <w:rPr>
          <w:rFonts w:ascii="Century Gothic" w:eastAsia="Century Gothic" w:hAnsi="Century Gothic" w:cs="Century Gothic"/>
        </w:rPr>
        <w:t xml:space="preserve"> la </w:t>
      </w:r>
      <w:r w:rsidRPr="00A555A1">
        <w:rPr>
          <w:rFonts w:ascii="Century Gothic" w:eastAsia="Century Gothic" w:hAnsi="Century Gothic" w:cs="Century Gothic"/>
        </w:rPr>
        <w:t>línea telefónica</w:t>
      </w:r>
      <w:r w:rsidR="00067F91">
        <w:rPr>
          <w:rFonts w:ascii="Century Gothic" w:eastAsia="Century Gothic" w:hAnsi="Century Gothic" w:cs="Century Gothic"/>
        </w:rPr>
        <w:t xml:space="preserve"> de la persona quejosa</w:t>
      </w:r>
      <w:r w:rsidRPr="00A555A1">
        <w:rPr>
          <w:rFonts w:ascii="Century Gothic" w:eastAsia="Century Gothic" w:hAnsi="Century Gothic" w:cs="Century Gothic"/>
        </w:rPr>
        <w:t>— derivó directa y exclusivamente de la negativa de la parte quejosa a proporcionar información personal, sensible y datos biométricos, exigida coactivamente mediante la denominada "Prueba de Vida", validación de identidad y captura de identificación oficial. Esta injerencia se encuentra mandatada normativamente en los artículos 16, 17, 23, 24 y 31 de los Lineamientos, en íntima y directa relación con el artículo 103 de la LMTR, normatividad que en esta vía se tilda de inconstitucional por vulnerar, entre otros, el derecho humano a la privacidad, la protección de datos personales y el principio a la autodeterminación informativa de la suscrita persona quejosa.</w:t>
      </w:r>
    </w:p>
    <w:p w14:paraId="3DD2D78D" w14:textId="77777777" w:rsidR="00AE695D" w:rsidRPr="000D0388" w:rsidRDefault="000D0388" w:rsidP="00AE695D">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Bajo este escrutinio ordenado por la SCJN, el </w:t>
      </w:r>
      <w:r w:rsidRPr="00A555A1">
        <w:rPr>
          <w:rFonts w:ascii="Century Gothic" w:eastAsia="Century Gothic" w:hAnsi="Century Gothic" w:cs="Century Gothic"/>
          <w:i/>
          <w:iCs/>
        </w:rPr>
        <w:t>bien jurídico o interés fundamental</w:t>
      </w:r>
      <w:r w:rsidRPr="00A555A1">
        <w:rPr>
          <w:rFonts w:ascii="Century Gothic" w:eastAsia="Century Gothic" w:hAnsi="Century Gothic" w:cs="Century Gothic"/>
        </w:rPr>
        <w:t xml:space="preserve"> tutelado en la presente litis no es la regulación técnica de las telecomunicaciones (como el espectro, la interconexión o la radiodifusión), sino la </w:t>
      </w:r>
      <w:r w:rsidR="00AE695D" w:rsidRPr="000D0388">
        <w:rPr>
          <w:rFonts w:ascii="Century Gothic" w:eastAsia="Century Gothic" w:hAnsi="Century Gothic" w:cs="Century Gothic"/>
          <w:b/>
          <w:bCs/>
        </w:rPr>
        <w:t xml:space="preserve">protección del derecho humano a la privacidad, la intimidad y </w:t>
      </w:r>
      <w:r w:rsidR="00AE695D">
        <w:rPr>
          <w:rFonts w:ascii="Century Gothic" w:eastAsia="Century Gothic" w:hAnsi="Century Gothic" w:cs="Century Gothic"/>
          <w:b/>
          <w:bCs/>
        </w:rPr>
        <w:t>el principio de</w:t>
      </w:r>
      <w:r w:rsidR="00AE695D" w:rsidRPr="000D0388">
        <w:rPr>
          <w:rFonts w:ascii="Century Gothic" w:eastAsia="Century Gothic" w:hAnsi="Century Gothic" w:cs="Century Gothic"/>
          <w:b/>
          <w:bCs/>
        </w:rPr>
        <w:t xml:space="preserve"> autodeterminación informativa</w:t>
      </w:r>
      <w:r w:rsidR="00AE695D" w:rsidRPr="000D0388">
        <w:rPr>
          <w:rFonts w:ascii="Century Gothic" w:eastAsia="Century Gothic" w:hAnsi="Century Gothic" w:cs="Century Gothic"/>
        </w:rPr>
        <w:t>.</w:t>
      </w:r>
    </w:p>
    <w:p w14:paraId="39A22136" w14:textId="1740D5E1" w:rsidR="000D0388" w:rsidRPr="00A555A1" w:rsidRDefault="000D0388" w:rsidP="000D0388">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lastRenderedPageBreak/>
        <w:t xml:space="preserve">Esta afirmación no es una apreciación subjetiva de la parte quejosa, sino que se confirma y robustece de manera inobjetable al advertir que, como se desarrollará a detalle en el apartado de OBLIGATORIEDAD DE PRECEDENTE, el Tribunal Pleno de la SCJN, al resolver la </w:t>
      </w:r>
      <w:r w:rsidRPr="00A555A1">
        <w:rPr>
          <w:rFonts w:ascii="Century Gothic" w:eastAsia="Century Gothic" w:hAnsi="Century Gothic" w:cs="Century Gothic"/>
          <w:b/>
          <w:bCs/>
        </w:rPr>
        <w:t xml:space="preserve">Acción de Inconstitucionalidad 82/2021 y su acumulada 86/2021 </w:t>
      </w:r>
      <w:r w:rsidRPr="00A555A1">
        <w:rPr>
          <w:rFonts w:ascii="Century Gothic" w:eastAsia="Century Gothic" w:hAnsi="Century Gothic" w:cs="Century Gothic"/>
        </w:rPr>
        <w:t>(en adelante, Caso PANAUT)</w:t>
      </w:r>
      <w:r w:rsidRPr="00A555A1">
        <w:rPr>
          <w:rFonts w:ascii="Century Gothic" w:eastAsia="Century Gothic" w:hAnsi="Century Gothic" w:cs="Century Gothic"/>
          <w:vertAlign w:val="superscript"/>
        </w:rPr>
        <w:footnoteReference w:id="8"/>
      </w:r>
      <w:r w:rsidRPr="00A555A1">
        <w:rPr>
          <w:rFonts w:ascii="Century Gothic" w:eastAsia="Century Gothic" w:hAnsi="Century Gothic" w:cs="Century Gothic"/>
        </w:rPr>
        <w:t>, declaró la invalidez total del sistema normativo predecesor regulado en la abrogada Ley Federal de Telecomunicaciones y Radiodifusión erigiendo como el eje toral y núcleo de su declaratoria de inconstitucionalidad, precisamente, la intromisión injustificada y la grave vulneración a los derechos humanos a la privacidad, la intimidad y la protección de datos personales.</w:t>
      </w:r>
    </w:p>
    <w:p w14:paraId="3F4FA7DA" w14:textId="77777777" w:rsidR="000D0388" w:rsidRPr="00A555A1" w:rsidRDefault="000D0388" w:rsidP="000D0388">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Por lo tanto, si la propia SCJN ya definió que la exigencia de biometría en servicios de telecomunicaciones es un asunto cuyo eje toral es la grave vulneración a la protección de datos personales, resulta inconcuso que este H. Juzgado de Distrito es el competente por razón de materia, desplazando la competencia administrativa en telecomunicaciones del artículo 298 de la LMTR.</w:t>
      </w:r>
    </w:p>
    <w:p w14:paraId="09A8EBFE" w14:textId="77777777" w:rsidR="00463C7E" w:rsidRPr="00A555A1" w:rsidRDefault="00463C7E" w:rsidP="00D602D1">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No pasa inadvertida para esta parte quejosa la existencia de la Jurisprudencia </w:t>
      </w:r>
      <w:r w:rsidRPr="00A555A1">
        <w:rPr>
          <w:rFonts w:ascii="Century Gothic" w:eastAsia="Century Gothic" w:hAnsi="Century Gothic" w:cs="Century Gothic"/>
          <w:b/>
          <w:bCs/>
        </w:rPr>
        <w:t>XXX.3o. J/1 A (12a.)</w:t>
      </w:r>
      <w:r w:rsidRPr="00A555A1">
        <w:rPr>
          <w:rFonts w:ascii="Century Gothic" w:eastAsia="Century Gothic" w:hAnsi="Century Gothic" w:cs="Century Gothic"/>
        </w:rPr>
        <w:t xml:space="preserve"> (Registro digital: 2031960), emitida por el Tercer Tribunal Colegiado del Trigésimo Circuito (derivada, entre otros, del Conflicto Competencial 19/2025), de rubro: </w:t>
      </w:r>
      <w:r w:rsidRPr="00A555A1">
        <w:rPr>
          <w:rFonts w:ascii="Century Gothic" w:eastAsia="Century Gothic" w:hAnsi="Century Gothic" w:cs="Century Gothic"/>
          <w:i/>
          <w:iCs/>
        </w:rPr>
        <w:t>'COMPETENCIA PARA CONOCER DEL AMPARO INDIRECTO CONTRA NORMAS GENERALES QUE PREVEAN EL TRATAMIENTO O RESGUARDO DE DATOS PERSONALES. CORRESPONDE A LOS JUZGADOS DE DISTRITO NO ESPECIALIZADOS”</w:t>
      </w:r>
      <w:r w:rsidR="00E92698" w:rsidRPr="00A555A1">
        <w:rPr>
          <w:rStyle w:val="Refdenotaalpie"/>
          <w:rFonts w:ascii="Century Gothic" w:eastAsia="Century Gothic" w:hAnsi="Century Gothic" w:cs="Century Gothic"/>
        </w:rPr>
        <w:footnoteReference w:id="9"/>
      </w:r>
      <w:r w:rsidRPr="00A555A1">
        <w:rPr>
          <w:rFonts w:ascii="Century Gothic" w:eastAsia="Century Gothic" w:hAnsi="Century Gothic" w:cs="Century Gothic"/>
        </w:rPr>
        <w:t>.</w:t>
      </w:r>
    </w:p>
    <w:p w14:paraId="06C48610" w14:textId="334FC90D" w:rsidR="00463C7E" w:rsidRPr="00A555A1" w:rsidRDefault="00463C7E" w:rsidP="00463C7E">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Sin embargo, la aplicación de dicha jurisprudencia se traduciría en un innegable fraude a la jerarquía normativa y un franco desacato a la jurisprudencia del Máximo Tribunal de la Nación.</w:t>
      </w:r>
    </w:p>
    <w:p w14:paraId="3C57D659" w14:textId="79C3F68C" w:rsidR="00463C7E" w:rsidRPr="00A555A1" w:rsidRDefault="00463C7E" w:rsidP="00463C7E">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lastRenderedPageBreak/>
        <w:t xml:space="preserve">Si bien es cierto que el artículo 217 de la Ley de Amparo dota de obligatoriedad a la jurisprudencia de los Tribunales Colegiados para los juzgados de su circuito, también lo es que, ante una antinomia o incompatibilidad de criterios, </w:t>
      </w:r>
      <w:r w:rsidRPr="00A555A1">
        <w:rPr>
          <w:rFonts w:ascii="Century Gothic" w:eastAsia="Century Gothic" w:hAnsi="Century Gothic" w:cs="Century Gothic"/>
          <w:b/>
          <w:bCs/>
        </w:rPr>
        <w:t>debe prevalecer indefectiblemente la jurisprudencia emitida por la SCJN</w:t>
      </w:r>
      <w:r w:rsidRPr="00A555A1">
        <w:rPr>
          <w:rFonts w:ascii="Century Gothic" w:eastAsia="Century Gothic" w:hAnsi="Century Gothic" w:cs="Century Gothic"/>
        </w:rPr>
        <w:t>.</w:t>
      </w:r>
    </w:p>
    <w:p w14:paraId="10C6F990" w14:textId="0D8EF3C8" w:rsidR="00463C7E" w:rsidRPr="00A555A1" w:rsidRDefault="00463C7E" w:rsidP="00463C7E">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El criterio del Tribunal Colegiado (Registro digital: 2031960) incurre en un grave vicio de origen, pu</w:t>
      </w:r>
      <w:r w:rsidR="006C6C42" w:rsidRPr="00A555A1">
        <w:rPr>
          <w:rFonts w:ascii="Century Gothic" w:eastAsia="Century Gothic" w:hAnsi="Century Gothic" w:cs="Century Gothic"/>
        </w:rPr>
        <w:t>e</w:t>
      </w:r>
      <w:r w:rsidRPr="00A555A1">
        <w:rPr>
          <w:rFonts w:ascii="Century Gothic" w:eastAsia="Century Gothic" w:hAnsi="Century Gothic" w:cs="Century Gothic"/>
        </w:rPr>
        <w:t xml:space="preserve">s pretende limitar la competencia material de este órgano jurisdiccional apoyándose y elevando a rango de parámetro competencial meras disposiciones administrativas restrictivas (como el Punto de Acuerdo 8/2025 de la Comisión de Creación y Seguimiento de Órganos Jurisdiccionales y las Circulares SECNO/9/2025 y SECNO/14/2025). Con ello, el Tribunal Colegiado inobserva e inaplica la jurisprudencia obligatoria de la SCJN emanada de la </w:t>
      </w:r>
      <w:r w:rsidRPr="00A555A1">
        <w:rPr>
          <w:rFonts w:ascii="Century Gothic" w:eastAsia="Century Gothic" w:hAnsi="Century Gothic" w:cs="Century Gothic"/>
          <w:b/>
          <w:bCs/>
        </w:rPr>
        <w:t>Contradicción de Tesis 37/2019</w:t>
      </w:r>
      <w:r w:rsidRPr="00A555A1">
        <w:rPr>
          <w:rFonts w:ascii="Century Gothic" w:eastAsia="Century Gothic" w:hAnsi="Century Gothic" w:cs="Century Gothic"/>
        </w:rPr>
        <w:t xml:space="preserve">, en la cual la Segunda Sala ordenó de manera categórica que, tratándose del reclamo de normas generales, la regla de fijar la competencia atendiendo a la autoridad responsable o a la ley reclamada </w:t>
      </w:r>
      <w:r w:rsidRPr="00A555A1">
        <w:rPr>
          <w:rFonts w:ascii="Century Gothic" w:eastAsia="Century Gothic" w:hAnsi="Century Gothic" w:cs="Century Gothic"/>
          <w:b/>
          <w:bCs/>
        </w:rPr>
        <w:t>no es aplicable</w:t>
      </w:r>
      <w:r w:rsidRPr="00A555A1">
        <w:rPr>
          <w:rFonts w:ascii="Century Gothic" w:eastAsia="Century Gothic" w:hAnsi="Century Gothic" w:cs="Century Gothic"/>
        </w:rPr>
        <w:t xml:space="preserve">, siendo el único parámetro válido el </w:t>
      </w:r>
      <w:r w:rsidRPr="00A555A1">
        <w:rPr>
          <w:rFonts w:ascii="Century Gothic" w:eastAsia="Century Gothic" w:hAnsi="Century Gothic" w:cs="Century Gothic"/>
          <w:b/>
          <w:bCs/>
        </w:rPr>
        <w:t>“bien jurídico o interés fundamental sobre el que versan las disposiciones reclamadas”</w:t>
      </w:r>
      <w:r w:rsidRPr="00A555A1">
        <w:rPr>
          <w:rFonts w:ascii="Century Gothic" w:eastAsia="Century Gothic" w:hAnsi="Century Gothic" w:cs="Century Gothic"/>
        </w:rPr>
        <w:t>.</w:t>
      </w:r>
    </w:p>
    <w:p w14:paraId="56F3AB26" w14:textId="5F3194AC" w:rsidR="00D602D1" w:rsidRPr="00A555A1" w:rsidRDefault="006C6C42" w:rsidP="00D602D1">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Por tanto, este H. Juzgado de Distrito, debe aplicar la jurisprudencia de la SCJN por encima de cualquier criterio de un Tribunal Colegiado que se sustente en circulares administrativas</w:t>
      </w:r>
      <w:r w:rsidR="00D514F0" w:rsidRPr="00A555A1">
        <w:rPr>
          <w:rFonts w:ascii="Century Gothic" w:eastAsia="Century Gothic" w:hAnsi="Century Gothic" w:cs="Century Gothic"/>
        </w:rPr>
        <w:t xml:space="preserve"> ya que, d</w:t>
      </w:r>
      <w:r w:rsidRPr="00A555A1">
        <w:rPr>
          <w:rFonts w:ascii="Century Gothic" w:eastAsia="Century Gothic" w:hAnsi="Century Gothic" w:cs="Century Gothic"/>
        </w:rPr>
        <w:t xml:space="preserve">e no hacerlo, estaría desacatando abiertamente a la </w:t>
      </w:r>
      <w:r w:rsidR="00D514F0" w:rsidRPr="00A555A1">
        <w:rPr>
          <w:rFonts w:ascii="Century Gothic" w:eastAsia="Century Gothic" w:hAnsi="Century Gothic" w:cs="Century Gothic"/>
        </w:rPr>
        <w:t>SCJN</w:t>
      </w:r>
      <w:r w:rsidRPr="00A555A1">
        <w:rPr>
          <w:rFonts w:ascii="Century Gothic" w:eastAsia="Century Gothic" w:hAnsi="Century Gothic" w:cs="Century Gothic"/>
        </w:rPr>
        <w:t xml:space="preserve"> y evadiendo el análisis del bien jurídico tutelado</w:t>
      </w:r>
      <w:r w:rsidR="00D602D1" w:rsidRPr="00A555A1">
        <w:rPr>
          <w:rFonts w:ascii="Century Gothic" w:eastAsia="Century Gothic" w:hAnsi="Century Gothic" w:cs="Century Gothic"/>
        </w:rPr>
        <w:t xml:space="preserve"> (que en el caso de la biometría</w:t>
      </w:r>
      <w:r w:rsidRPr="00A555A1">
        <w:rPr>
          <w:rFonts w:ascii="Century Gothic" w:eastAsia="Century Gothic" w:hAnsi="Century Gothic" w:cs="Century Gothic"/>
        </w:rPr>
        <w:t xml:space="preserve">, “Prueba de Vida”, </w:t>
      </w:r>
      <w:r w:rsidR="00D602D1" w:rsidRPr="00A555A1">
        <w:rPr>
          <w:rFonts w:ascii="Century Gothic" w:eastAsia="Century Gothic" w:hAnsi="Century Gothic" w:cs="Century Gothic"/>
        </w:rPr>
        <w:t xml:space="preserve">en telecomunicaciones es, indubitablemente, la privacidad y los datos personales, como lo resolvió el Pleno </w:t>
      </w:r>
      <w:r w:rsidR="00B4160F" w:rsidRPr="00A555A1">
        <w:rPr>
          <w:rFonts w:ascii="Century Gothic" w:eastAsia="Century Gothic" w:hAnsi="Century Gothic" w:cs="Century Gothic"/>
        </w:rPr>
        <w:t xml:space="preserve">de la SCJN </w:t>
      </w:r>
      <w:r w:rsidR="00D602D1" w:rsidRPr="00A555A1">
        <w:rPr>
          <w:rFonts w:ascii="Century Gothic" w:eastAsia="Century Gothic" w:hAnsi="Century Gothic" w:cs="Century Gothic"/>
        </w:rPr>
        <w:t>en el Caso PANAUT), sustituyendo el parámetro de control constitucional ordenado por la Corte por un mero formalismo administrativo. Esto propicia que se inobserve el mandato de que cada juzgador debe analizar la constitucionalidad de las normas generales que atienden a su ámbito de conocimiento específico del derecho.</w:t>
      </w:r>
    </w:p>
    <w:p w14:paraId="71172D7B" w14:textId="77777777" w:rsidR="00D602D1" w:rsidRPr="00A555A1" w:rsidRDefault="00D602D1" w:rsidP="00D602D1">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Aunado a la transgresión jurisprudencial, el rechazo competencial se sustenta en un vicio de origen respecto a las facultades del órgano que emitió la restricción.</w:t>
      </w:r>
    </w:p>
    <w:p w14:paraId="2138C351" w14:textId="77777777" w:rsidR="00D602D1" w:rsidRPr="00A555A1" w:rsidRDefault="00D602D1" w:rsidP="00D602D1">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El Pleno del Consejo de la Judicatura Federal (ahora Órgano de Administración Judicial), en pleno ejercicio de sus facultades constitucionales, emitió el </w:t>
      </w:r>
      <w:r w:rsidRPr="00A555A1">
        <w:rPr>
          <w:rFonts w:ascii="Century Gothic" w:eastAsia="Century Gothic" w:hAnsi="Century Gothic" w:cs="Century Gothic"/>
          <w:b/>
          <w:bCs/>
        </w:rPr>
        <w:t>Acuerdo General 8/2025</w:t>
      </w:r>
      <w:r w:rsidRPr="00A555A1">
        <w:rPr>
          <w:rFonts w:ascii="Century Gothic" w:eastAsia="Century Gothic" w:hAnsi="Century Gothic" w:cs="Century Gothic"/>
        </w:rPr>
        <w:t xml:space="preserve">, mediante el cual habilitó materialmente a </w:t>
      </w:r>
      <w:r w:rsidRPr="00A555A1">
        <w:rPr>
          <w:rFonts w:ascii="Century Gothic" w:eastAsia="Century Gothic" w:hAnsi="Century Gothic" w:cs="Century Gothic"/>
        </w:rPr>
        <w:lastRenderedPageBreak/>
        <w:t xml:space="preserve">este H. Juzgado de Distrito para conocer de los </w:t>
      </w:r>
      <w:r w:rsidRPr="00A555A1">
        <w:rPr>
          <w:rFonts w:ascii="Century Gothic" w:eastAsia="Century Gothic" w:hAnsi="Century Gothic" w:cs="Century Gothic"/>
          <w:i/>
          <w:iCs/>
        </w:rPr>
        <w:t>"</w:t>
      </w:r>
      <w:r w:rsidRPr="00A555A1">
        <w:rPr>
          <w:rFonts w:ascii="Century Gothic" w:eastAsia="Century Gothic" w:hAnsi="Century Gothic" w:cs="Century Gothic"/>
          <w:b/>
          <w:bCs/>
          <w:i/>
          <w:iCs/>
        </w:rPr>
        <w:t>juicios de amparo</w:t>
      </w:r>
      <w:r w:rsidRPr="00A555A1">
        <w:rPr>
          <w:rFonts w:ascii="Century Gothic" w:eastAsia="Century Gothic" w:hAnsi="Century Gothic" w:cs="Century Gothic"/>
          <w:i/>
          <w:iCs/>
        </w:rPr>
        <w:t xml:space="preserve"> en materia de acceso a la información pública y protección de datos personales"</w:t>
      </w:r>
      <w:r w:rsidRPr="00A555A1">
        <w:rPr>
          <w:rFonts w:ascii="Century Gothic" w:eastAsia="Century Gothic" w:hAnsi="Century Gothic" w:cs="Century Gothic"/>
        </w:rPr>
        <w:t xml:space="preserve">. En su artículo 6, dicho Acuerdo Plenario delegó en la Comisión de Creación de Nuevos Órganos la facultad exclusiva para </w:t>
      </w:r>
      <w:r w:rsidRPr="00A555A1">
        <w:rPr>
          <w:rFonts w:ascii="Century Gothic" w:eastAsia="Century Gothic" w:hAnsi="Century Gothic" w:cs="Century Gothic"/>
          <w:i/>
          <w:iCs/>
        </w:rPr>
        <w:t>"interpretar y resolver las cuestiones administrativas que se susciten con motivo de la aplicación de este Acuerdo"</w:t>
      </w:r>
      <w:r w:rsidRPr="00A555A1">
        <w:rPr>
          <w:rFonts w:ascii="Century Gothic" w:eastAsia="Century Gothic" w:hAnsi="Century Gothic" w:cs="Century Gothic"/>
        </w:rPr>
        <w:t>.</w:t>
      </w:r>
    </w:p>
    <w:p w14:paraId="19A9C92E" w14:textId="637A78B0" w:rsidR="00D602D1" w:rsidRPr="00A555A1" w:rsidRDefault="00D602D1" w:rsidP="00D602D1">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Sin embargo, dicha Comisión inferior y su Secretaría Ejecutiva, mediante el referido </w:t>
      </w:r>
      <w:r w:rsidRPr="00A555A1">
        <w:rPr>
          <w:rFonts w:ascii="Century Gothic" w:eastAsia="Century Gothic" w:hAnsi="Century Gothic" w:cs="Century Gothic"/>
          <w:i/>
          <w:iCs/>
        </w:rPr>
        <w:t>Punto de Acuerdo 8/2025</w:t>
      </w:r>
      <w:r w:rsidRPr="00A555A1">
        <w:rPr>
          <w:rFonts w:ascii="Century Gothic" w:eastAsia="Century Gothic" w:hAnsi="Century Gothic" w:cs="Century Gothic"/>
        </w:rPr>
        <w:t xml:space="preserve">, se extralimitaron en sus facultades al imponer requisitos adicionales y candados jurisdiccionales que el Pleno del CJF jamás estableció en el Acuerdo original. Entonces, la definición de si una norma general impugnada en amparo (como el artículo 103 de la LMTR y sus Lineamientos) vulnera o no el derecho humano a la protección de datos personales </w:t>
      </w:r>
      <w:r w:rsidRPr="00A555A1">
        <w:rPr>
          <w:rFonts w:ascii="Century Gothic" w:eastAsia="Century Gothic" w:hAnsi="Century Gothic" w:cs="Century Gothic"/>
          <w:b/>
          <w:bCs/>
        </w:rPr>
        <w:t>es una cuestión estrictamente jurisdiccional y de orden constitucional, no una "cuestión administrativa"</w:t>
      </w:r>
      <w:r w:rsidRPr="00A555A1">
        <w:rPr>
          <w:rFonts w:ascii="Century Gothic" w:eastAsia="Century Gothic" w:hAnsi="Century Gothic" w:cs="Century Gothic"/>
        </w:rPr>
        <w:t>.</w:t>
      </w:r>
    </w:p>
    <w:p w14:paraId="21979984" w14:textId="372A1DBC" w:rsidR="00D602D1" w:rsidRPr="00A555A1" w:rsidRDefault="00D602D1" w:rsidP="00D602D1">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Por lo tanto, un órgano inferior, como la Comisión de Creación de Nuevos Órganos, carece de facultades constitucionales y legales para restringir la competencia material otorgada por el Pleno del CJF y, mucho menos, para emitir circulares que dejen sin efectos la regla de competencia para amparos contra leyes fijada jurisprudencialmente por la SCJN.</w:t>
      </w:r>
    </w:p>
    <w:p w14:paraId="404122EB" w14:textId="77777777" w:rsidR="00D602D1" w:rsidRPr="00A555A1" w:rsidRDefault="00D602D1" w:rsidP="00D602D1">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Finalmente, la asunción de competencia por parte de este órgano subespecializado resulta indispensable para garantizar el derecho fundamental de acceso a una justicia pronta, completa e imparcial.</w:t>
      </w:r>
    </w:p>
    <w:p w14:paraId="0690B9CF" w14:textId="533C948E" w:rsidR="00D602D1" w:rsidRPr="00A555A1" w:rsidRDefault="00D602D1" w:rsidP="00AF70D6">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Como lo ha reconocido la </w:t>
      </w:r>
      <w:r w:rsidR="003604D5" w:rsidRPr="00A555A1">
        <w:rPr>
          <w:rFonts w:ascii="Century Gothic" w:eastAsia="Century Gothic" w:hAnsi="Century Gothic" w:cs="Century Gothic"/>
        </w:rPr>
        <w:t xml:space="preserve">Primera Sala de la </w:t>
      </w:r>
      <w:r w:rsidR="00B4160F" w:rsidRPr="00A555A1">
        <w:rPr>
          <w:rFonts w:ascii="Century Gothic" w:eastAsia="Century Gothic" w:hAnsi="Century Gothic" w:cs="Century Gothic"/>
        </w:rPr>
        <w:t>SCJN</w:t>
      </w:r>
      <w:r w:rsidRPr="00A555A1">
        <w:rPr>
          <w:rFonts w:ascii="Century Gothic" w:eastAsia="Century Gothic" w:hAnsi="Century Gothic" w:cs="Century Gothic"/>
        </w:rPr>
        <w:t xml:space="preserve">, </w:t>
      </w:r>
      <w:r w:rsidR="003604D5" w:rsidRPr="00A555A1">
        <w:rPr>
          <w:rFonts w:ascii="Century Gothic" w:eastAsia="Century Gothic" w:hAnsi="Century Gothic" w:cs="Century Gothic"/>
        </w:rPr>
        <w:t xml:space="preserve">en el conflicto competencial 185/2017, </w:t>
      </w:r>
      <w:r w:rsidRPr="00A555A1">
        <w:rPr>
          <w:rFonts w:ascii="Century Gothic" w:eastAsia="Century Gothic" w:hAnsi="Century Gothic" w:cs="Century Gothic"/>
          <w:b/>
          <w:bCs/>
        </w:rPr>
        <w:t>la especialidad por materia permite aprovechar el conocimiento y la experiencia de quienes se dedican en forma preferente y permanente a una determinada rama del derecho</w:t>
      </w:r>
      <w:r w:rsidR="003604D5" w:rsidRPr="00A555A1">
        <w:rPr>
          <w:rStyle w:val="Refdenotaalpie"/>
          <w:rFonts w:ascii="Century Gothic" w:eastAsia="Century Gothic" w:hAnsi="Century Gothic" w:cs="Century Gothic"/>
          <w:b/>
          <w:bCs/>
        </w:rPr>
        <w:footnoteReference w:id="10"/>
      </w:r>
      <w:r w:rsidRPr="00A555A1">
        <w:rPr>
          <w:rFonts w:ascii="Century Gothic" w:eastAsia="Century Gothic" w:hAnsi="Century Gothic" w:cs="Century Gothic"/>
        </w:rPr>
        <w:t>.</w:t>
      </w:r>
    </w:p>
    <w:p w14:paraId="06D8BCCD" w14:textId="1B562727" w:rsidR="00AF70D6" w:rsidRPr="00A555A1" w:rsidRDefault="00AF70D6" w:rsidP="00AF70D6">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De ahí que, precisamente, hayan sido estos Juzgados y Tribunales Colegiados los órganos que el Poder Judicial de la Federación habilitó para resolver conflictos de tal envergadura. En consecuencia, al contar con el </w:t>
      </w:r>
      <w:r w:rsidRPr="00A555A1">
        <w:rPr>
          <w:rFonts w:ascii="Century Gothic" w:eastAsia="Century Gothic" w:hAnsi="Century Gothic" w:cs="Century Gothic"/>
        </w:rPr>
        <w:lastRenderedPageBreak/>
        <w:t>bagaje especializado, el rigor técnico y el conocimiento jurídico en materia de autodeterminación informativa y protección de datos personales, este H. Juzgado de Distrito se erige como garante natural, idóneo y competente para llevar a cabo el escrutinio estricto que exige la vulneración de los datos personales sensibles de la quejosa, frente a un ecosistema tecnológico que amenaza con instaurar prácticas de vigilancia masiva e indiscriminada.</w:t>
      </w:r>
    </w:p>
    <w:p w14:paraId="548B6A7B" w14:textId="77777777" w:rsidR="00D514F0" w:rsidRPr="00A555A1" w:rsidRDefault="00000000" w:rsidP="00D514F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Por consiguiente, al consistir el precedente vinculante del Máximo Tribunal en la tutela estricta de la protección de datos personales frente a exigencias coactivas en materia de telecomunicaciones, resulta incontrovertible que el fondo de la presente litis constitucional recae en la esfera exacta de especialización y competencia que le fue conferida a este H. Juzgado de Distrito.</w:t>
      </w:r>
    </w:p>
    <w:p w14:paraId="69C202D4" w14:textId="01E27995" w:rsidR="00001DF2" w:rsidRPr="00A555A1" w:rsidRDefault="00000000" w:rsidP="00054283">
      <w:pPr>
        <w:spacing w:line="360" w:lineRule="auto"/>
        <w:jc w:val="both"/>
        <w:rPr>
          <w:rFonts w:ascii="Century Gothic" w:eastAsia="Century Gothic" w:hAnsi="Century Gothic" w:cs="Century Gothic"/>
        </w:rPr>
      </w:pPr>
      <w:r w:rsidRPr="00A555A1">
        <w:rPr>
          <w:rFonts w:ascii="Century Gothic" w:eastAsia="Century Gothic" w:hAnsi="Century Gothic" w:cs="Century Gothic"/>
          <w:b/>
          <w:bCs/>
        </w:rPr>
        <w:t xml:space="preserve">OBLIGATORIEDAD DE PRECEDENTE. </w:t>
      </w:r>
      <w:r w:rsidRPr="00A555A1">
        <w:rPr>
          <w:rFonts w:ascii="Century Gothic" w:eastAsia="Century Gothic" w:hAnsi="Century Gothic" w:cs="Century Gothic"/>
        </w:rPr>
        <w:t>En estricta observancia del artículo 43 de la Ley Reglamentaria de las Fracciones I y II del Artículo 105 Constitucional</w:t>
      </w:r>
      <w:r w:rsidRPr="00A555A1">
        <w:rPr>
          <w:rFonts w:ascii="Century Gothic" w:eastAsia="Century Gothic" w:hAnsi="Century Gothic" w:cs="Century Gothic"/>
          <w:vertAlign w:val="superscript"/>
        </w:rPr>
        <w:footnoteReference w:id="11"/>
      </w:r>
      <w:r w:rsidRPr="00A555A1">
        <w:rPr>
          <w:rFonts w:ascii="Century Gothic" w:eastAsia="Century Gothic" w:hAnsi="Century Gothic" w:cs="Century Gothic"/>
        </w:rPr>
        <w:t>, es imperativo aplicar el precedente de la SCJN, mediante el cual el Tribunal Pleno declaró la invalidez absoluta del entonces denominado Padrón Nacional de Usuarios de Telefonía Móvil (en adelante, PANAUT).</w:t>
      </w:r>
    </w:p>
    <w:p w14:paraId="52F3806A" w14:textId="30C303C1"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Es importante mencionar que no basta con argumentar o manifestar que existe un precedente o una cosa juzgada refleja, sino que es imperativo, demostrar, mediante una comparativa exhaustiva, sustantiva y analítica que el sistema normativo que se impugna, consistente en los artículos mencionados de la LMTR y los lineamientos, </w:t>
      </w:r>
      <w:r w:rsidR="007F6BC2">
        <w:rPr>
          <w:rFonts w:ascii="Century Gothic" w:eastAsia="Century Gothic" w:hAnsi="Century Gothic" w:cs="Century Gothic"/>
        </w:rPr>
        <w:t>es</w:t>
      </w:r>
      <w:r w:rsidRPr="00A555A1">
        <w:rPr>
          <w:rFonts w:ascii="Century Gothic" w:eastAsia="Century Gothic" w:hAnsi="Century Gothic" w:cs="Century Gothic"/>
        </w:rPr>
        <w:t xml:space="preserve"> idéntico y simétrico al sistema normativo que ya fue expulsado por la integración anterior de la SCJN.</w:t>
      </w:r>
    </w:p>
    <w:p w14:paraId="629256F2"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Entonces, el sistema normativo combatido (artículos 103, 164, fracción III, y 183 de la LMTR, así como los Lineamientos) constituye un innegable fraude a la Constitución, haciendo constar que la similitud no radica en las nomenclaturas empleadas por el legislador para disfrazar la injerencia —"Prueba de Vida" en lugar de "datos biométricos"—, sino en el </w:t>
      </w:r>
      <w:r w:rsidRPr="00A555A1">
        <w:rPr>
          <w:rFonts w:ascii="Century Gothic" w:eastAsia="Century Gothic" w:hAnsi="Century Gothic" w:cs="Century Gothic"/>
        </w:rPr>
        <w:lastRenderedPageBreak/>
        <w:t>núcleo duro de la afectación, consistente en una obligación indiscriminada y coactiva de entregar la identidad personal y datos sensibles para acceder a las redes de telecomunicación.</w:t>
      </w:r>
    </w:p>
    <w:p w14:paraId="231E6618"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Las razones torales que fundaron dicha decisión radican en que obligar a los ciudadanos a entregar su identidad y biometría, careciendo de control judicial, revistiendo un alcance masivo e indiscriminado, y soslayando que ya existen alternativas menos lesivas en el ordenamiento penal, vulnera flagrantemente los derechos a la privacidad, a la intimidad y a la autodeterminación informativa. Al respecto, la SCJN definió el estándar protector que rige en el Estado mexicano:</w:t>
      </w:r>
    </w:p>
    <w:p w14:paraId="603F7AF0" w14:textId="77777777" w:rsidR="00001DF2" w:rsidRPr="00A555A1" w:rsidRDefault="00000000">
      <w:pPr>
        <w:spacing w:line="360" w:lineRule="auto"/>
        <w:ind w:left="851" w:right="618"/>
        <w:jc w:val="both"/>
        <w:rPr>
          <w:rFonts w:ascii="Century Gothic" w:eastAsia="Century Gothic" w:hAnsi="Century Gothic" w:cs="Century Gothic"/>
          <w:i/>
          <w:iCs/>
          <w:sz w:val="20"/>
          <w:szCs w:val="20"/>
        </w:rPr>
      </w:pPr>
      <w:r w:rsidRPr="00A555A1">
        <w:rPr>
          <w:rFonts w:ascii="Century Gothic" w:eastAsia="Century Gothic" w:hAnsi="Century Gothic" w:cs="Century Gothic"/>
          <w:i/>
          <w:iCs/>
          <w:sz w:val="20"/>
          <w:szCs w:val="20"/>
        </w:rPr>
        <w:t xml:space="preserve">155. Ahora bien, de todo lo expuesto hasta este punto es posible afirmar que esta trilogía de derechos de la que hemos hablado, aunque distinguibles y autónomos, se encuentran estrechamente vinculados entre sí, puesto que la interdependencia que existe entre sus respectivos ámbitos de tutela dan lugar a un "bloque de defensa" el cual busca proteger al individuo de cualquier interferencia o molestia que pudiera efectuarse sobre la esfera de su privacidad –entendida en sentido lato–, </w:t>
      </w:r>
      <w:r w:rsidRPr="00A555A1">
        <w:rPr>
          <w:rFonts w:ascii="Century Gothic" w:eastAsia="Century Gothic" w:hAnsi="Century Gothic" w:cs="Century Gothic"/>
          <w:b/>
          <w:bCs/>
          <w:i/>
          <w:iCs/>
          <w:sz w:val="20"/>
          <w:szCs w:val="20"/>
        </w:rPr>
        <w:t>por cualquier medio</w:t>
      </w:r>
      <w:r w:rsidRPr="00A555A1">
        <w:rPr>
          <w:rFonts w:ascii="Century Gothic" w:eastAsia="Century Gothic" w:hAnsi="Century Gothic" w:cs="Century Gothic"/>
          <w:i/>
          <w:iCs/>
          <w:sz w:val="20"/>
          <w:szCs w:val="20"/>
        </w:rPr>
        <w:t xml:space="preserve">, ya sea que </w:t>
      </w:r>
      <w:r w:rsidRPr="00A555A1">
        <w:rPr>
          <w:rFonts w:ascii="Century Gothic" w:eastAsia="Century Gothic" w:hAnsi="Century Gothic" w:cs="Century Gothic"/>
          <w:b/>
          <w:bCs/>
          <w:i/>
          <w:iCs/>
          <w:sz w:val="20"/>
          <w:szCs w:val="20"/>
        </w:rPr>
        <w:t>provengan de particulares</w:t>
      </w:r>
      <w:r w:rsidRPr="00A555A1">
        <w:rPr>
          <w:rFonts w:ascii="Century Gothic" w:eastAsia="Century Gothic" w:hAnsi="Century Gothic" w:cs="Century Gothic"/>
          <w:i/>
          <w:iCs/>
          <w:sz w:val="20"/>
          <w:szCs w:val="20"/>
        </w:rPr>
        <w:t xml:space="preserve">, o bien, </w:t>
      </w:r>
      <w:r w:rsidRPr="00A555A1">
        <w:rPr>
          <w:rFonts w:ascii="Century Gothic" w:eastAsia="Century Gothic" w:hAnsi="Century Gothic" w:cs="Century Gothic"/>
          <w:b/>
          <w:bCs/>
          <w:i/>
          <w:iCs/>
          <w:sz w:val="20"/>
          <w:szCs w:val="20"/>
        </w:rPr>
        <w:t>del propio Estado</w:t>
      </w:r>
      <w:r w:rsidRPr="00A555A1">
        <w:rPr>
          <w:rFonts w:ascii="Century Gothic" w:eastAsia="Century Gothic" w:hAnsi="Century Gothic" w:cs="Century Gothic"/>
          <w:i/>
          <w:iCs/>
          <w:sz w:val="20"/>
          <w:szCs w:val="20"/>
        </w:rPr>
        <w:t>.</w:t>
      </w:r>
    </w:p>
    <w:p w14:paraId="7E5C2951" w14:textId="77777777" w:rsidR="00001DF2" w:rsidRPr="00A555A1" w:rsidRDefault="00000000">
      <w:pPr>
        <w:spacing w:line="360" w:lineRule="auto"/>
        <w:ind w:left="851" w:right="618"/>
        <w:jc w:val="both"/>
        <w:rPr>
          <w:rFonts w:ascii="Century Gothic" w:eastAsia="Century Gothic" w:hAnsi="Century Gothic" w:cs="Century Gothic"/>
          <w:i/>
          <w:iCs/>
          <w:sz w:val="20"/>
          <w:szCs w:val="20"/>
        </w:rPr>
      </w:pPr>
      <w:r w:rsidRPr="00A555A1">
        <w:rPr>
          <w:rFonts w:ascii="Century Gothic" w:eastAsia="Century Gothic" w:hAnsi="Century Gothic" w:cs="Century Gothic"/>
          <w:i/>
          <w:iCs/>
          <w:sz w:val="20"/>
          <w:szCs w:val="20"/>
        </w:rPr>
        <w:t>…</w:t>
      </w:r>
    </w:p>
    <w:p w14:paraId="30AA0A5A" w14:textId="77777777" w:rsidR="00001DF2" w:rsidRPr="00A555A1" w:rsidRDefault="00000000">
      <w:pPr>
        <w:spacing w:line="360" w:lineRule="auto"/>
        <w:ind w:left="851" w:right="618"/>
        <w:jc w:val="both"/>
        <w:rPr>
          <w:rFonts w:ascii="Century Gothic" w:eastAsia="Century Gothic" w:hAnsi="Century Gothic" w:cs="Century Gothic"/>
          <w:i/>
          <w:iCs/>
          <w:sz w:val="20"/>
          <w:szCs w:val="20"/>
        </w:rPr>
      </w:pPr>
      <w:r w:rsidRPr="00A555A1">
        <w:rPr>
          <w:rFonts w:ascii="Century Gothic" w:eastAsia="Century Gothic" w:hAnsi="Century Gothic" w:cs="Century Gothic"/>
          <w:i/>
          <w:iCs/>
          <w:sz w:val="20"/>
          <w:szCs w:val="20"/>
        </w:rPr>
        <w:t xml:space="preserve">157. Igualmente, debe resaltarse que, siguiendo al Tribunal Interamericano, esta Corte Suprema ha reconocido que estos derechos han dejado de ser solo un ámbito de defensa de un espacio exclusivo y excluyente, para convertirse ahora en un conjunto de poderes activos de conocimiento, acceso y control de la información personal dando lugar a la llamada autodeterminación informativa, es decir, </w:t>
      </w:r>
      <w:r w:rsidRPr="00A555A1">
        <w:rPr>
          <w:rFonts w:ascii="Century Gothic" w:eastAsia="Century Gothic" w:hAnsi="Century Gothic" w:cs="Century Gothic"/>
          <w:b/>
          <w:bCs/>
          <w:i/>
          <w:iCs/>
          <w:sz w:val="20"/>
          <w:szCs w:val="20"/>
        </w:rPr>
        <w:t>el poder para determinar quién, qué y con qué motivo puede acceder a nuestros datos personales</w:t>
      </w:r>
      <w:r w:rsidRPr="00A555A1">
        <w:rPr>
          <w:rFonts w:ascii="Century Gothic" w:eastAsia="Century Gothic" w:hAnsi="Century Gothic" w:cs="Century Gothic"/>
          <w:i/>
          <w:iCs/>
          <w:sz w:val="20"/>
          <w:szCs w:val="20"/>
        </w:rPr>
        <w:t>.</w:t>
      </w:r>
    </w:p>
    <w:p w14:paraId="065BF757" w14:textId="77777777" w:rsidR="00001DF2" w:rsidRPr="00A555A1" w:rsidRDefault="00000000">
      <w:pPr>
        <w:spacing w:line="360" w:lineRule="auto"/>
        <w:ind w:left="851" w:right="618"/>
        <w:jc w:val="both"/>
        <w:rPr>
          <w:rFonts w:ascii="Century Gothic" w:eastAsia="Century Gothic" w:hAnsi="Century Gothic" w:cs="Century Gothic"/>
        </w:rPr>
      </w:pPr>
      <w:r w:rsidRPr="00A555A1">
        <w:rPr>
          <w:rFonts w:ascii="Century Gothic" w:eastAsia="Century Gothic" w:hAnsi="Century Gothic" w:cs="Century Gothic"/>
          <w:b/>
          <w:bCs/>
        </w:rPr>
        <w:t>(Énfasis añadido)</w:t>
      </w:r>
    </w:p>
    <w:p w14:paraId="112C7384"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Para efectos de acreditar y demostrar la aplicación del precedente del Caso PANAUT, se presenta el siguiente cuadro comparativo que demuestra la similitud estructural, teológica y lesiva entre el extinto PANAUT y el nuevo modelo de registro de la LMTR y los Lineamientos:</w:t>
      </w:r>
    </w:p>
    <w:tbl>
      <w:tblPr>
        <w:tblStyle w:val="a"/>
        <w:tblW w:w="9640"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88"/>
        <w:gridCol w:w="2138"/>
        <w:gridCol w:w="2355"/>
        <w:gridCol w:w="3559"/>
      </w:tblGrid>
      <w:tr w:rsidR="00001DF2" w:rsidRPr="00A555A1" w14:paraId="1E9E9B28" w14:textId="77777777">
        <w:trPr>
          <w:trHeight w:val="300"/>
        </w:trPr>
        <w:tc>
          <w:tcPr>
            <w:tcW w:w="1588" w:type="dxa"/>
            <w:vAlign w:val="center"/>
          </w:tcPr>
          <w:p w14:paraId="71583730" w14:textId="77777777" w:rsidR="00001DF2" w:rsidRPr="00A555A1" w:rsidRDefault="00000000">
            <w:pPr>
              <w:spacing w:after="0" w:line="240" w:lineRule="auto"/>
              <w:jc w:val="center"/>
              <w:rPr>
                <w:rFonts w:ascii="Aptos Narrow" w:eastAsia="Aptos Narrow" w:hAnsi="Aptos Narrow" w:cs="Aptos Narrow"/>
                <w:b/>
                <w:bCs/>
                <w:color w:val="000000"/>
                <w:sz w:val="22"/>
                <w:szCs w:val="22"/>
              </w:rPr>
            </w:pPr>
            <w:r w:rsidRPr="00A555A1">
              <w:rPr>
                <w:rFonts w:ascii="Aptos Narrow" w:eastAsia="Aptos Narrow" w:hAnsi="Aptos Narrow" w:cs="Aptos Narrow"/>
                <w:b/>
                <w:bCs/>
                <w:color w:val="000000"/>
                <w:sz w:val="22"/>
                <w:szCs w:val="22"/>
              </w:rPr>
              <w:t>ATRIBUTO OBLIGATORIO</w:t>
            </w:r>
          </w:p>
        </w:tc>
        <w:tc>
          <w:tcPr>
            <w:tcW w:w="2138" w:type="dxa"/>
            <w:vAlign w:val="center"/>
          </w:tcPr>
          <w:p w14:paraId="604A1B08" w14:textId="77777777" w:rsidR="00001DF2" w:rsidRPr="00A555A1" w:rsidRDefault="00000000">
            <w:pPr>
              <w:spacing w:after="0" w:line="240" w:lineRule="auto"/>
              <w:jc w:val="center"/>
              <w:rPr>
                <w:rFonts w:ascii="Aptos Narrow" w:eastAsia="Aptos Narrow" w:hAnsi="Aptos Narrow" w:cs="Aptos Narrow"/>
                <w:b/>
                <w:bCs/>
                <w:color w:val="000000"/>
                <w:sz w:val="22"/>
                <w:szCs w:val="22"/>
              </w:rPr>
            </w:pPr>
            <w:r w:rsidRPr="00A555A1">
              <w:rPr>
                <w:rFonts w:ascii="Aptos Narrow" w:eastAsia="Aptos Narrow" w:hAnsi="Aptos Narrow" w:cs="Aptos Narrow"/>
                <w:b/>
                <w:bCs/>
                <w:color w:val="000000"/>
                <w:sz w:val="22"/>
                <w:szCs w:val="22"/>
              </w:rPr>
              <w:t>PANAUT - INVALIDADO POR SCJN</w:t>
            </w:r>
          </w:p>
        </w:tc>
        <w:tc>
          <w:tcPr>
            <w:tcW w:w="2355" w:type="dxa"/>
            <w:vAlign w:val="center"/>
          </w:tcPr>
          <w:p w14:paraId="15FBDFA5" w14:textId="77777777" w:rsidR="00001DF2" w:rsidRPr="00A555A1" w:rsidRDefault="00000000">
            <w:pPr>
              <w:spacing w:after="0" w:line="240" w:lineRule="auto"/>
              <w:jc w:val="center"/>
              <w:rPr>
                <w:rFonts w:ascii="Aptos Narrow" w:eastAsia="Aptos Narrow" w:hAnsi="Aptos Narrow" w:cs="Aptos Narrow"/>
                <w:b/>
                <w:bCs/>
                <w:color w:val="000000"/>
                <w:sz w:val="22"/>
                <w:szCs w:val="22"/>
              </w:rPr>
            </w:pPr>
            <w:r w:rsidRPr="00A555A1">
              <w:rPr>
                <w:rFonts w:ascii="Aptos Narrow" w:eastAsia="Aptos Narrow" w:hAnsi="Aptos Narrow" w:cs="Aptos Narrow"/>
                <w:b/>
                <w:bCs/>
                <w:color w:val="000000"/>
                <w:sz w:val="22"/>
                <w:szCs w:val="22"/>
              </w:rPr>
              <w:t>LMTR Y LINEAMIENTOS - IMPUGNADO</w:t>
            </w:r>
          </w:p>
        </w:tc>
        <w:tc>
          <w:tcPr>
            <w:tcW w:w="3559" w:type="dxa"/>
            <w:vAlign w:val="center"/>
          </w:tcPr>
          <w:p w14:paraId="7ABF7955" w14:textId="77777777" w:rsidR="00001DF2" w:rsidRPr="00A555A1" w:rsidRDefault="00000000">
            <w:pPr>
              <w:spacing w:after="0" w:line="240" w:lineRule="auto"/>
              <w:jc w:val="center"/>
              <w:rPr>
                <w:rFonts w:ascii="Aptos Narrow" w:eastAsia="Aptos Narrow" w:hAnsi="Aptos Narrow" w:cs="Aptos Narrow"/>
                <w:b/>
                <w:bCs/>
                <w:color w:val="000000"/>
                <w:sz w:val="22"/>
                <w:szCs w:val="22"/>
              </w:rPr>
            </w:pPr>
            <w:r w:rsidRPr="00A555A1">
              <w:rPr>
                <w:rFonts w:ascii="Aptos Narrow" w:eastAsia="Aptos Narrow" w:hAnsi="Aptos Narrow" w:cs="Aptos Narrow"/>
                <w:b/>
                <w:bCs/>
                <w:color w:val="000000"/>
                <w:sz w:val="22"/>
                <w:szCs w:val="22"/>
              </w:rPr>
              <w:t>SIMILITUD SUSTANCIAL</w:t>
            </w:r>
          </w:p>
        </w:tc>
      </w:tr>
      <w:tr w:rsidR="00001DF2" w:rsidRPr="00A555A1" w14:paraId="1CB927F3" w14:textId="77777777">
        <w:trPr>
          <w:trHeight w:val="300"/>
        </w:trPr>
        <w:tc>
          <w:tcPr>
            <w:tcW w:w="1588" w:type="dxa"/>
            <w:vAlign w:val="center"/>
          </w:tcPr>
          <w:p w14:paraId="45B308F3" w14:textId="77777777" w:rsidR="00001DF2" w:rsidRPr="00A555A1" w:rsidRDefault="00000000">
            <w:pPr>
              <w:spacing w:after="0" w:line="240" w:lineRule="auto"/>
              <w:jc w:val="both"/>
              <w:rPr>
                <w:rFonts w:ascii="Aptos Narrow" w:eastAsia="Aptos Narrow" w:hAnsi="Aptos Narrow" w:cs="Aptos Narrow"/>
                <w:b/>
                <w:bCs/>
                <w:color w:val="000000"/>
                <w:sz w:val="22"/>
                <w:szCs w:val="22"/>
              </w:rPr>
            </w:pPr>
            <w:r w:rsidRPr="00A555A1">
              <w:rPr>
                <w:rFonts w:ascii="Aptos Narrow" w:eastAsia="Aptos Narrow" w:hAnsi="Aptos Narrow" w:cs="Aptos Narrow"/>
                <w:b/>
                <w:bCs/>
                <w:color w:val="000000"/>
                <w:sz w:val="22"/>
                <w:szCs w:val="22"/>
              </w:rPr>
              <w:t>Sujetos obligados a registrarse</w:t>
            </w:r>
          </w:p>
        </w:tc>
        <w:tc>
          <w:tcPr>
            <w:tcW w:w="2138" w:type="dxa"/>
            <w:vAlign w:val="center"/>
          </w:tcPr>
          <w:p w14:paraId="006B2DB2" w14:textId="77777777" w:rsidR="00001DF2" w:rsidRPr="00A555A1" w:rsidRDefault="00000000">
            <w:pPr>
              <w:spacing w:after="0" w:line="240" w:lineRule="auto"/>
              <w:jc w:val="both"/>
              <w:rPr>
                <w:rFonts w:ascii="Aptos Narrow" w:eastAsia="Aptos Narrow" w:hAnsi="Aptos Narrow" w:cs="Aptos Narrow"/>
                <w:color w:val="000000"/>
                <w:sz w:val="22"/>
                <w:szCs w:val="22"/>
              </w:rPr>
            </w:pPr>
            <w:r w:rsidRPr="00A555A1">
              <w:rPr>
                <w:rFonts w:ascii="Aptos Narrow" w:eastAsia="Aptos Narrow" w:hAnsi="Aptos Narrow" w:cs="Aptos Narrow"/>
                <w:color w:val="000000"/>
                <w:sz w:val="22"/>
                <w:szCs w:val="22"/>
              </w:rPr>
              <w:t>Obligatorio para todos los usuarios, personas físicas y morales titulares de líneas de telefonía móvil (Art. 180 Quáter).</w:t>
            </w:r>
          </w:p>
        </w:tc>
        <w:tc>
          <w:tcPr>
            <w:tcW w:w="2355" w:type="dxa"/>
            <w:vAlign w:val="center"/>
          </w:tcPr>
          <w:p w14:paraId="2AC4A9DB" w14:textId="77777777" w:rsidR="00001DF2" w:rsidRPr="00A555A1" w:rsidRDefault="00000000">
            <w:pPr>
              <w:spacing w:after="0" w:line="240" w:lineRule="auto"/>
              <w:jc w:val="both"/>
              <w:rPr>
                <w:rFonts w:ascii="Aptos Narrow" w:eastAsia="Aptos Narrow" w:hAnsi="Aptos Narrow" w:cs="Aptos Narrow"/>
                <w:color w:val="000000"/>
                <w:sz w:val="22"/>
                <w:szCs w:val="22"/>
              </w:rPr>
            </w:pPr>
            <w:r w:rsidRPr="00A555A1">
              <w:rPr>
                <w:rFonts w:ascii="Aptos Narrow" w:eastAsia="Aptos Narrow" w:hAnsi="Aptos Narrow" w:cs="Aptos Narrow"/>
                <w:color w:val="000000"/>
                <w:sz w:val="22"/>
                <w:szCs w:val="22"/>
              </w:rPr>
              <w:t>Obligatorio para todos los usuarios finales asociados a líneas del servicio móvil y comercializadoras (Art. 103 y 164, fracc. III).</w:t>
            </w:r>
          </w:p>
        </w:tc>
        <w:tc>
          <w:tcPr>
            <w:tcW w:w="3559" w:type="dxa"/>
            <w:vAlign w:val="center"/>
          </w:tcPr>
          <w:p w14:paraId="55B50622" w14:textId="77777777" w:rsidR="00001DF2" w:rsidRPr="00A555A1" w:rsidRDefault="00000000">
            <w:pPr>
              <w:spacing w:after="0" w:line="240" w:lineRule="auto"/>
              <w:jc w:val="both"/>
              <w:rPr>
                <w:rFonts w:ascii="Aptos Narrow" w:eastAsia="Aptos Narrow" w:hAnsi="Aptos Narrow" w:cs="Aptos Narrow"/>
                <w:b/>
                <w:bCs/>
                <w:color w:val="000000"/>
                <w:sz w:val="22"/>
                <w:szCs w:val="22"/>
              </w:rPr>
            </w:pPr>
            <w:r w:rsidRPr="00A555A1">
              <w:rPr>
                <w:rFonts w:ascii="Aptos Narrow" w:eastAsia="Aptos Narrow" w:hAnsi="Aptos Narrow" w:cs="Aptos Narrow"/>
                <w:b/>
                <w:bCs/>
                <w:color w:val="000000"/>
                <w:sz w:val="22"/>
                <w:szCs w:val="22"/>
              </w:rPr>
              <w:t>IDÉNTICO:</w:t>
            </w:r>
            <w:r w:rsidRPr="00A555A1">
              <w:rPr>
                <w:rFonts w:ascii="Aptos Narrow" w:eastAsia="Aptos Narrow" w:hAnsi="Aptos Narrow" w:cs="Aptos Narrow"/>
                <w:color w:val="000000"/>
                <w:sz w:val="22"/>
                <w:szCs w:val="22"/>
              </w:rPr>
              <w:t xml:space="preserve"> El alcance es generalizado, masivo e indiscriminado sobre toda la población usuaria de telefonía, sin distinción de sospecha delictiva previa.</w:t>
            </w:r>
          </w:p>
        </w:tc>
      </w:tr>
      <w:tr w:rsidR="00001DF2" w:rsidRPr="00A555A1" w14:paraId="035936E0" w14:textId="77777777">
        <w:trPr>
          <w:trHeight w:val="300"/>
        </w:trPr>
        <w:tc>
          <w:tcPr>
            <w:tcW w:w="1588" w:type="dxa"/>
            <w:vAlign w:val="center"/>
          </w:tcPr>
          <w:p w14:paraId="063E4C21" w14:textId="77777777" w:rsidR="00001DF2" w:rsidRPr="00A555A1" w:rsidRDefault="00000000">
            <w:pPr>
              <w:spacing w:after="0" w:line="240" w:lineRule="auto"/>
              <w:jc w:val="both"/>
              <w:rPr>
                <w:rFonts w:ascii="Aptos Narrow" w:eastAsia="Aptos Narrow" w:hAnsi="Aptos Narrow" w:cs="Aptos Narrow"/>
                <w:b/>
                <w:bCs/>
                <w:color w:val="000000"/>
                <w:sz w:val="22"/>
                <w:szCs w:val="22"/>
              </w:rPr>
            </w:pPr>
            <w:r w:rsidRPr="00A555A1">
              <w:rPr>
                <w:rFonts w:ascii="Aptos Narrow" w:eastAsia="Aptos Narrow" w:hAnsi="Aptos Narrow" w:cs="Aptos Narrow"/>
                <w:b/>
                <w:bCs/>
                <w:color w:val="000000"/>
                <w:sz w:val="22"/>
                <w:szCs w:val="22"/>
              </w:rPr>
              <w:lastRenderedPageBreak/>
              <w:t>Datos y documentos exigidos</w:t>
            </w:r>
          </w:p>
        </w:tc>
        <w:tc>
          <w:tcPr>
            <w:tcW w:w="2138" w:type="dxa"/>
            <w:vAlign w:val="center"/>
          </w:tcPr>
          <w:p w14:paraId="1EFB3FF8" w14:textId="77777777" w:rsidR="00001DF2" w:rsidRPr="00A555A1" w:rsidRDefault="00000000">
            <w:pPr>
              <w:spacing w:after="0" w:line="240" w:lineRule="auto"/>
              <w:jc w:val="both"/>
              <w:rPr>
                <w:rFonts w:ascii="Aptos Narrow" w:eastAsia="Aptos Narrow" w:hAnsi="Aptos Narrow" w:cs="Aptos Narrow"/>
                <w:color w:val="000000"/>
                <w:sz w:val="22"/>
                <w:szCs w:val="22"/>
              </w:rPr>
            </w:pPr>
            <w:r w:rsidRPr="00A555A1">
              <w:rPr>
                <w:rFonts w:ascii="Aptos Narrow" w:eastAsia="Aptos Narrow" w:hAnsi="Aptos Narrow" w:cs="Aptos Narrow"/>
                <w:color w:val="000000"/>
                <w:sz w:val="22"/>
                <w:szCs w:val="22"/>
              </w:rPr>
              <w:t xml:space="preserve">Identificación oficial, comprobante de domicilio, CURP y </w:t>
            </w:r>
            <w:r w:rsidRPr="00A555A1">
              <w:rPr>
                <w:rFonts w:ascii="Aptos Narrow" w:eastAsia="Aptos Narrow" w:hAnsi="Aptos Narrow" w:cs="Aptos Narrow"/>
                <w:b/>
                <w:bCs/>
                <w:color w:val="000000"/>
                <w:sz w:val="22"/>
                <w:szCs w:val="22"/>
              </w:rPr>
              <w:t>Datos Biométricos</w:t>
            </w:r>
            <w:r w:rsidRPr="00A555A1">
              <w:rPr>
                <w:rFonts w:ascii="Aptos Narrow" w:eastAsia="Aptos Narrow" w:hAnsi="Aptos Narrow" w:cs="Aptos Narrow"/>
                <w:color w:val="000000"/>
                <w:sz w:val="22"/>
                <w:szCs w:val="22"/>
              </w:rPr>
              <w:t xml:space="preserve"> (Art. 180 Ter, fracc. V y VI).</w:t>
            </w:r>
          </w:p>
        </w:tc>
        <w:tc>
          <w:tcPr>
            <w:tcW w:w="2355" w:type="dxa"/>
            <w:vAlign w:val="center"/>
          </w:tcPr>
          <w:p w14:paraId="27D1C67E" w14:textId="77777777" w:rsidR="00001DF2" w:rsidRPr="00A555A1" w:rsidRDefault="00000000">
            <w:pPr>
              <w:spacing w:after="0" w:line="240" w:lineRule="auto"/>
              <w:jc w:val="both"/>
              <w:rPr>
                <w:rFonts w:ascii="Aptos Narrow" w:eastAsia="Aptos Narrow" w:hAnsi="Aptos Narrow" w:cs="Aptos Narrow"/>
                <w:color w:val="000000"/>
                <w:sz w:val="22"/>
                <w:szCs w:val="22"/>
              </w:rPr>
            </w:pPr>
            <w:r w:rsidRPr="00A555A1">
              <w:rPr>
                <w:rFonts w:ascii="Aptos Narrow" w:eastAsia="Aptos Narrow" w:hAnsi="Aptos Narrow" w:cs="Aptos Narrow"/>
                <w:color w:val="000000"/>
                <w:sz w:val="22"/>
                <w:szCs w:val="22"/>
              </w:rPr>
              <w:t xml:space="preserve">Identificación oficial con fotografía, CURP/RFC y una </w:t>
            </w:r>
            <w:r w:rsidRPr="00A555A1">
              <w:rPr>
                <w:rFonts w:ascii="Aptos Narrow" w:eastAsia="Aptos Narrow" w:hAnsi="Aptos Narrow" w:cs="Aptos Narrow"/>
                <w:b/>
                <w:bCs/>
                <w:color w:val="000000"/>
                <w:sz w:val="22"/>
                <w:szCs w:val="22"/>
              </w:rPr>
              <w:t>"Prueba de Vida"</w:t>
            </w:r>
            <w:r w:rsidRPr="00A555A1">
              <w:rPr>
                <w:rFonts w:ascii="Aptos Narrow" w:eastAsia="Aptos Narrow" w:hAnsi="Aptos Narrow" w:cs="Aptos Narrow"/>
                <w:color w:val="000000"/>
                <w:sz w:val="22"/>
                <w:szCs w:val="22"/>
              </w:rPr>
              <w:t xml:space="preserve"> o validación remota biométrica (Lineamientos, Art. 17 y 24).</w:t>
            </w:r>
          </w:p>
        </w:tc>
        <w:tc>
          <w:tcPr>
            <w:tcW w:w="3559" w:type="dxa"/>
            <w:vAlign w:val="center"/>
          </w:tcPr>
          <w:p w14:paraId="35B8887F" w14:textId="77777777" w:rsidR="00001DF2" w:rsidRPr="00A555A1" w:rsidRDefault="00000000">
            <w:pPr>
              <w:spacing w:after="0" w:line="240" w:lineRule="auto"/>
              <w:jc w:val="both"/>
              <w:rPr>
                <w:rFonts w:ascii="Aptos Narrow" w:eastAsia="Aptos Narrow" w:hAnsi="Aptos Narrow" w:cs="Aptos Narrow"/>
                <w:b/>
                <w:bCs/>
                <w:color w:val="000000"/>
                <w:sz w:val="22"/>
                <w:szCs w:val="22"/>
              </w:rPr>
            </w:pPr>
            <w:r w:rsidRPr="00A555A1">
              <w:rPr>
                <w:rFonts w:ascii="Aptos Narrow" w:eastAsia="Aptos Narrow" w:hAnsi="Aptos Narrow" w:cs="Aptos Narrow"/>
                <w:b/>
                <w:bCs/>
                <w:color w:val="000000"/>
                <w:sz w:val="22"/>
                <w:szCs w:val="22"/>
              </w:rPr>
              <w:t>SUSTANCIALMENTE IDÉNTICO:</w:t>
            </w:r>
            <w:r w:rsidRPr="00A555A1">
              <w:rPr>
                <w:rFonts w:ascii="Aptos Narrow" w:eastAsia="Aptos Narrow" w:hAnsi="Aptos Narrow" w:cs="Aptos Narrow"/>
                <w:color w:val="000000"/>
                <w:sz w:val="22"/>
                <w:szCs w:val="22"/>
              </w:rPr>
              <w:t xml:space="preserve"> La "Prueba de Vida" en video o fotografía cruzada contra bases del Estado (</w:t>
            </w:r>
            <w:r w:rsidRPr="00A555A1">
              <w:rPr>
                <w:rFonts w:ascii="Aptos Narrow" w:eastAsia="Aptos Narrow" w:hAnsi="Aptos Narrow" w:cs="Aptos Narrow"/>
                <w:i/>
                <w:iCs/>
                <w:color w:val="000000"/>
                <w:sz w:val="22"/>
                <w:szCs w:val="22"/>
              </w:rPr>
              <w:t>liveness detection</w:t>
            </w:r>
            <w:r w:rsidRPr="00A555A1">
              <w:rPr>
                <w:rFonts w:ascii="Aptos Narrow" w:eastAsia="Aptos Narrow" w:hAnsi="Aptos Narrow" w:cs="Aptos Narrow"/>
                <w:color w:val="000000"/>
                <w:sz w:val="22"/>
                <w:szCs w:val="22"/>
              </w:rPr>
              <w:t>) es, informática y jurídicamente, una captura biométrica de geometría facial.</w:t>
            </w:r>
          </w:p>
        </w:tc>
      </w:tr>
      <w:tr w:rsidR="00001DF2" w:rsidRPr="00A555A1" w14:paraId="2D68644F" w14:textId="77777777">
        <w:trPr>
          <w:trHeight w:val="300"/>
        </w:trPr>
        <w:tc>
          <w:tcPr>
            <w:tcW w:w="1588" w:type="dxa"/>
            <w:vAlign w:val="center"/>
          </w:tcPr>
          <w:p w14:paraId="109ACE79" w14:textId="77777777" w:rsidR="00001DF2" w:rsidRPr="00A555A1" w:rsidRDefault="00000000">
            <w:pPr>
              <w:spacing w:after="0" w:line="240" w:lineRule="auto"/>
              <w:jc w:val="both"/>
              <w:rPr>
                <w:rFonts w:ascii="Aptos Narrow" w:eastAsia="Aptos Narrow" w:hAnsi="Aptos Narrow" w:cs="Aptos Narrow"/>
                <w:b/>
                <w:bCs/>
                <w:color w:val="000000"/>
                <w:sz w:val="22"/>
                <w:szCs w:val="22"/>
              </w:rPr>
            </w:pPr>
            <w:r w:rsidRPr="00A555A1">
              <w:rPr>
                <w:rFonts w:ascii="Aptos Narrow" w:eastAsia="Aptos Narrow" w:hAnsi="Aptos Narrow" w:cs="Aptos Narrow"/>
                <w:b/>
                <w:bCs/>
                <w:color w:val="000000"/>
                <w:sz w:val="22"/>
                <w:szCs w:val="22"/>
              </w:rPr>
              <w:t>Sanción al usuario por incumplimiento</w:t>
            </w:r>
          </w:p>
        </w:tc>
        <w:tc>
          <w:tcPr>
            <w:tcW w:w="2138" w:type="dxa"/>
            <w:vAlign w:val="center"/>
          </w:tcPr>
          <w:p w14:paraId="1DEFBA0C" w14:textId="77777777" w:rsidR="00001DF2" w:rsidRPr="00A555A1" w:rsidRDefault="00000000">
            <w:pPr>
              <w:spacing w:after="0" w:line="240" w:lineRule="auto"/>
              <w:jc w:val="both"/>
              <w:rPr>
                <w:rFonts w:ascii="Aptos Narrow" w:eastAsia="Aptos Narrow" w:hAnsi="Aptos Narrow" w:cs="Aptos Narrow"/>
                <w:color w:val="000000"/>
                <w:sz w:val="22"/>
                <w:szCs w:val="22"/>
              </w:rPr>
            </w:pPr>
            <w:r w:rsidRPr="00A555A1">
              <w:rPr>
                <w:rFonts w:ascii="Aptos Narrow" w:eastAsia="Aptos Narrow" w:hAnsi="Aptos Narrow" w:cs="Aptos Narrow"/>
                <w:color w:val="000000"/>
                <w:sz w:val="22"/>
                <w:szCs w:val="22"/>
              </w:rPr>
              <w:t>Cancelación definitiva de la prestación del servicio relacionado con la línea (Transitorio Cuarto).</w:t>
            </w:r>
          </w:p>
        </w:tc>
        <w:tc>
          <w:tcPr>
            <w:tcW w:w="2355" w:type="dxa"/>
            <w:vAlign w:val="center"/>
          </w:tcPr>
          <w:p w14:paraId="10C119C8" w14:textId="77777777" w:rsidR="00001DF2" w:rsidRPr="00A555A1" w:rsidRDefault="00000000">
            <w:pPr>
              <w:spacing w:after="0" w:line="240" w:lineRule="auto"/>
              <w:jc w:val="both"/>
              <w:rPr>
                <w:rFonts w:ascii="Aptos Narrow" w:eastAsia="Aptos Narrow" w:hAnsi="Aptos Narrow" w:cs="Aptos Narrow"/>
                <w:color w:val="000000"/>
                <w:sz w:val="22"/>
                <w:szCs w:val="22"/>
              </w:rPr>
            </w:pPr>
            <w:r w:rsidRPr="00A555A1">
              <w:rPr>
                <w:rFonts w:ascii="Aptos Narrow" w:eastAsia="Aptos Narrow" w:hAnsi="Aptos Narrow" w:cs="Aptos Narrow"/>
                <w:color w:val="000000"/>
                <w:sz w:val="22"/>
                <w:szCs w:val="22"/>
              </w:rPr>
              <w:t>Suspensión de la línea telefónica, limitándola exclusivamente a llamadas a números de emergencia (Transitorio Sexto).</w:t>
            </w:r>
          </w:p>
        </w:tc>
        <w:tc>
          <w:tcPr>
            <w:tcW w:w="3559" w:type="dxa"/>
            <w:vAlign w:val="center"/>
          </w:tcPr>
          <w:p w14:paraId="5B06C2B4" w14:textId="77777777" w:rsidR="00001DF2" w:rsidRPr="00A555A1" w:rsidRDefault="00000000">
            <w:pPr>
              <w:spacing w:after="0" w:line="240" w:lineRule="auto"/>
              <w:jc w:val="both"/>
              <w:rPr>
                <w:rFonts w:ascii="Aptos Narrow" w:eastAsia="Aptos Narrow" w:hAnsi="Aptos Narrow" w:cs="Aptos Narrow"/>
                <w:b/>
                <w:bCs/>
                <w:color w:val="000000"/>
                <w:sz w:val="22"/>
                <w:szCs w:val="22"/>
              </w:rPr>
            </w:pPr>
            <w:r w:rsidRPr="00A555A1">
              <w:rPr>
                <w:rFonts w:ascii="Aptos Narrow" w:eastAsia="Aptos Narrow" w:hAnsi="Aptos Narrow" w:cs="Aptos Narrow"/>
                <w:b/>
                <w:bCs/>
                <w:color w:val="000000"/>
                <w:sz w:val="22"/>
                <w:szCs w:val="22"/>
              </w:rPr>
              <w:t>IDÉNTICO EN SUS EFECTOS:</w:t>
            </w:r>
            <w:r w:rsidRPr="00A555A1">
              <w:rPr>
                <w:rFonts w:ascii="Aptos Narrow" w:eastAsia="Aptos Narrow" w:hAnsi="Aptos Narrow" w:cs="Aptos Narrow"/>
                <w:color w:val="000000"/>
                <w:sz w:val="22"/>
                <w:szCs w:val="22"/>
              </w:rPr>
              <w:t xml:space="preserve"> En ambos casos se ejecuta una "muerte civil" digital. El usuario es privado coercitivamente de su derecho humano de acceso a las TIC e internet.</w:t>
            </w:r>
          </w:p>
        </w:tc>
      </w:tr>
      <w:tr w:rsidR="00001DF2" w:rsidRPr="00A555A1" w14:paraId="13C547D0" w14:textId="77777777">
        <w:trPr>
          <w:trHeight w:val="300"/>
        </w:trPr>
        <w:tc>
          <w:tcPr>
            <w:tcW w:w="1588" w:type="dxa"/>
            <w:vAlign w:val="center"/>
          </w:tcPr>
          <w:p w14:paraId="18DCFA47" w14:textId="77777777" w:rsidR="00001DF2" w:rsidRPr="00A555A1" w:rsidRDefault="00000000">
            <w:pPr>
              <w:spacing w:after="0" w:line="240" w:lineRule="auto"/>
              <w:jc w:val="both"/>
              <w:rPr>
                <w:rFonts w:ascii="Aptos Narrow" w:eastAsia="Aptos Narrow" w:hAnsi="Aptos Narrow" w:cs="Aptos Narrow"/>
                <w:b/>
                <w:bCs/>
                <w:color w:val="000000"/>
                <w:sz w:val="22"/>
                <w:szCs w:val="22"/>
              </w:rPr>
            </w:pPr>
            <w:r w:rsidRPr="00A555A1">
              <w:rPr>
                <w:rFonts w:ascii="Aptos Narrow" w:eastAsia="Aptos Narrow" w:hAnsi="Aptos Narrow" w:cs="Aptos Narrow"/>
                <w:b/>
                <w:bCs/>
                <w:color w:val="000000"/>
                <w:sz w:val="22"/>
                <w:szCs w:val="22"/>
              </w:rPr>
              <w:t>Finalidad declarada de la medida</w:t>
            </w:r>
          </w:p>
        </w:tc>
        <w:tc>
          <w:tcPr>
            <w:tcW w:w="2138" w:type="dxa"/>
            <w:vAlign w:val="center"/>
          </w:tcPr>
          <w:p w14:paraId="707A2585" w14:textId="77777777" w:rsidR="00001DF2" w:rsidRPr="00A555A1" w:rsidRDefault="00000000">
            <w:pPr>
              <w:spacing w:after="0" w:line="240" w:lineRule="auto"/>
              <w:jc w:val="both"/>
              <w:rPr>
                <w:rFonts w:ascii="Aptos Narrow" w:eastAsia="Aptos Narrow" w:hAnsi="Aptos Narrow" w:cs="Aptos Narrow"/>
                <w:color w:val="000000"/>
                <w:sz w:val="22"/>
                <w:szCs w:val="22"/>
              </w:rPr>
            </w:pPr>
            <w:r w:rsidRPr="00A555A1">
              <w:rPr>
                <w:rFonts w:ascii="Aptos Narrow" w:eastAsia="Aptos Narrow" w:hAnsi="Aptos Narrow" w:cs="Aptos Narrow"/>
                <w:color w:val="000000"/>
                <w:sz w:val="22"/>
                <w:szCs w:val="22"/>
              </w:rPr>
              <w:t>Colaborar con las autoridades competentes en materia de seguridad y justicia en asuntos relacionados con la comisión de delitos (Art. 180 Bis).</w:t>
            </w:r>
          </w:p>
        </w:tc>
        <w:tc>
          <w:tcPr>
            <w:tcW w:w="2355" w:type="dxa"/>
            <w:vAlign w:val="center"/>
          </w:tcPr>
          <w:p w14:paraId="18FE5435" w14:textId="77777777" w:rsidR="00001DF2" w:rsidRPr="00A555A1" w:rsidRDefault="00000000">
            <w:pPr>
              <w:spacing w:after="0" w:line="240" w:lineRule="auto"/>
              <w:jc w:val="both"/>
              <w:rPr>
                <w:rFonts w:ascii="Aptos Narrow" w:eastAsia="Aptos Narrow" w:hAnsi="Aptos Narrow" w:cs="Aptos Narrow"/>
                <w:color w:val="000000"/>
                <w:sz w:val="22"/>
                <w:szCs w:val="22"/>
              </w:rPr>
            </w:pPr>
            <w:r w:rsidRPr="00A555A1">
              <w:rPr>
                <w:rFonts w:ascii="Aptos Narrow" w:eastAsia="Aptos Narrow" w:hAnsi="Aptos Narrow" w:cs="Aptos Narrow"/>
                <w:color w:val="000000"/>
                <w:sz w:val="22"/>
                <w:szCs w:val="22"/>
              </w:rPr>
              <w:t>Proporcionar certidumbre al ecosistema, reducir los espacios para el uso ilícito de tecnologías y vincular líneas con titulares por mandato de seguridad.</w:t>
            </w:r>
          </w:p>
        </w:tc>
        <w:tc>
          <w:tcPr>
            <w:tcW w:w="3559" w:type="dxa"/>
            <w:vAlign w:val="center"/>
          </w:tcPr>
          <w:p w14:paraId="6FF13684" w14:textId="77777777" w:rsidR="00001DF2" w:rsidRPr="00A555A1" w:rsidRDefault="00000000">
            <w:pPr>
              <w:spacing w:after="0" w:line="240" w:lineRule="auto"/>
              <w:jc w:val="both"/>
              <w:rPr>
                <w:rFonts w:ascii="Aptos Narrow" w:eastAsia="Aptos Narrow" w:hAnsi="Aptos Narrow" w:cs="Aptos Narrow"/>
                <w:b/>
                <w:bCs/>
                <w:color w:val="000000"/>
                <w:sz w:val="22"/>
                <w:szCs w:val="22"/>
              </w:rPr>
            </w:pPr>
            <w:r w:rsidRPr="00A555A1">
              <w:rPr>
                <w:rFonts w:ascii="Aptos Narrow" w:eastAsia="Aptos Narrow" w:hAnsi="Aptos Narrow" w:cs="Aptos Narrow"/>
                <w:b/>
                <w:bCs/>
                <w:color w:val="000000"/>
                <w:sz w:val="22"/>
                <w:szCs w:val="22"/>
              </w:rPr>
              <w:t>IDÉNTICA TELEOLOGÍA:</w:t>
            </w:r>
            <w:r w:rsidRPr="00A555A1">
              <w:rPr>
                <w:rFonts w:ascii="Aptos Narrow" w:eastAsia="Aptos Narrow" w:hAnsi="Aptos Narrow" w:cs="Aptos Narrow"/>
                <w:color w:val="000000"/>
                <w:sz w:val="22"/>
                <w:szCs w:val="22"/>
              </w:rPr>
              <w:t xml:space="preserve"> La justificación subyacente es exactamente la misma: inhibir el anonimato en telecomunicaciones para combatir delitos como secuestro y extorsión.</w:t>
            </w:r>
          </w:p>
        </w:tc>
      </w:tr>
      <w:tr w:rsidR="00001DF2" w:rsidRPr="00A555A1" w14:paraId="3CCABDAA" w14:textId="77777777">
        <w:trPr>
          <w:trHeight w:val="300"/>
        </w:trPr>
        <w:tc>
          <w:tcPr>
            <w:tcW w:w="1588" w:type="dxa"/>
            <w:vAlign w:val="center"/>
          </w:tcPr>
          <w:p w14:paraId="1260B2BC" w14:textId="77777777" w:rsidR="00001DF2" w:rsidRPr="00A555A1" w:rsidRDefault="00000000">
            <w:pPr>
              <w:spacing w:line="240" w:lineRule="auto"/>
              <w:jc w:val="both"/>
              <w:rPr>
                <w:rFonts w:ascii="Aptos Narrow" w:eastAsia="Aptos Narrow" w:hAnsi="Aptos Narrow" w:cs="Aptos Narrow"/>
                <w:b/>
                <w:bCs/>
                <w:color w:val="000000"/>
                <w:sz w:val="22"/>
                <w:szCs w:val="22"/>
              </w:rPr>
            </w:pPr>
            <w:r w:rsidRPr="00A555A1">
              <w:rPr>
                <w:rFonts w:ascii="Aptos Narrow" w:eastAsia="Aptos Narrow" w:hAnsi="Aptos Narrow" w:cs="Aptos Narrow"/>
                <w:b/>
                <w:bCs/>
                <w:color w:val="000000"/>
                <w:sz w:val="22"/>
                <w:szCs w:val="22"/>
              </w:rPr>
              <w:t>Delegación normativa y ausencia de salvaguardas legales</w:t>
            </w:r>
          </w:p>
        </w:tc>
        <w:tc>
          <w:tcPr>
            <w:tcW w:w="2138" w:type="dxa"/>
            <w:vAlign w:val="center"/>
          </w:tcPr>
          <w:p w14:paraId="22B5844E" w14:textId="77777777" w:rsidR="00001DF2" w:rsidRPr="00A555A1" w:rsidRDefault="00000000">
            <w:pPr>
              <w:spacing w:line="240" w:lineRule="auto"/>
              <w:jc w:val="both"/>
              <w:rPr>
                <w:rFonts w:ascii="Aptos Narrow" w:eastAsia="Aptos Narrow" w:hAnsi="Aptos Narrow" w:cs="Aptos Narrow"/>
                <w:color w:val="000000"/>
                <w:sz w:val="22"/>
                <w:szCs w:val="22"/>
              </w:rPr>
            </w:pPr>
            <w:r w:rsidRPr="00A555A1">
              <w:rPr>
                <w:rFonts w:ascii="Aptos Narrow" w:eastAsia="Aptos Narrow" w:hAnsi="Aptos Narrow" w:cs="Aptos Narrow"/>
                <w:color w:val="000000"/>
                <w:sz w:val="22"/>
                <w:szCs w:val="22"/>
              </w:rPr>
              <w:t>Se delega al Instituto Federal de Telecomunicaciones (IFT) expedir disposiciones administrativas para operar la base y definir datos biométricos.</w:t>
            </w:r>
          </w:p>
        </w:tc>
        <w:tc>
          <w:tcPr>
            <w:tcW w:w="2355" w:type="dxa"/>
            <w:vAlign w:val="center"/>
          </w:tcPr>
          <w:p w14:paraId="28A16C0B" w14:textId="77777777" w:rsidR="00001DF2" w:rsidRPr="00A555A1" w:rsidRDefault="00000000">
            <w:pPr>
              <w:spacing w:line="240" w:lineRule="auto"/>
              <w:jc w:val="both"/>
              <w:rPr>
                <w:rFonts w:ascii="Aptos Narrow" w:eastAsia="Aptos Narrow" w:hAnsi="Aptos Narrow" w:cs="Aptos Narrow"/>
                <w:color w:val="000000"/>
                <w:sz w:val="22"/>
                <w:szCs w:val="22"/>
              </w:rPr>
            </w:pPr>
            <w:r w:rsidRPr="00A555A1">
              <w:rPr>
                <w:rFonts w:ascii="Aptos Narrow" w:eastAsia="Aptos Narrow" w:hAnsi="Aptos Narrow" w:cs="Aptos Narrow"/>
                <w:color w:val="000000"/>
                <w:sz w:val="22"/>
                <w:szCs w:val="22"/>
              </w:rPr>
              <w:t>Se delega a la CRT la emisión de Lineamientos que dicten el "cómo" se validará la identidad y la prueba de vida.</w:t>
            </w:r>
          </w:p>
        </w:tc>
        <w:tc>
          <w:tcPr>
            <w:tcW w:w="3559" w:type="dxa"/>
            <w:vAlign w:val="center"/>
          </w:tcPr>
          <w:p w14:paraId="53BAB551" w14:textId="77777777" w:rsidR="00001DF2" w:rsidRPr="00A555A1" w:rsidRDefault="00000000">
            <w:pPr>
              <w:spacing w:line="240" w:lineRule="auto"/>
              <w:jc w:val="both"/>
              <w:rPr>
                <w:rFonts w:ascii="Aptos Narrow" w:eastAsia="Aptos Narrow" w:hAnsi="Aptos Narrow" w:cs="Aptos Narrow"/>
                <w:b/>
                <w:bCs/>
                <w:color w:val="000000"/>
                <w:sz w:val="22"/>
                <w:szCs w:val="22"/>
              </w:rPr>
            </w:pPr>
            <w:r w:rsidRPr="00A555A1">
              <w:rPr>
                <w:rFonts w:ascii="Aptos Narrow" w:eastAsia="Aptos Narrow" w:hAnsi="Aptos Narrow" w:cs="Aptos Narrow"/>
                <w:b/>
                <w:bCs/>
                <w:color w:val="000000"/>
                <w:sz w:val="22"/>
                <w:szCs w:val="22"/>
              </w:rPr>
              <w:t>IDÉNTICO VICIO:</w:t>
            </w:r>
            <w:r w:rsidRPr="00A555A1">
              <w:rPr>
                <w:rFonts w:ascii="Aptos Narrow" w:eastAsia="Aptos Narrow" w:hAnsi="Aptos Narrow" w:cs="Aptos Narrow"/>
                <w:color w:val="000000"/>
                <w:sz w:val="22"/>
                <w:szCs w:val="22"/>
              </w:rPr>
              <w:t xml:space="preserve"> Se traslada a una autoridad administrativa y regulatoria la facultad de modular el alcance de la restricción al derecho a la privacidad e intimidad, vulnerando la reserva de Ley.</w:t>
            </w:r>
          </w:p>
        </w:tc>
      </w:tr>
    </w:tbl>
    <w:p w14:paraId="48DB0969"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Del análisis comparativo se observa el sofisma en el que se incurre, al exigir una "Prueba de Vida" remota mediante el escáner facial de una cámara de celular, cruzando los rasgos contra alguna identificación oficial y la base de datos de RENAPO, siendo este el núcleo duro de la biometría. </w:t>
      </w:r>
    </w:p>
    <w:p w14:paraId="025060D7" w14:textId="77777777" w:rsidR="00BC54D1" w:rsidRDefault="00000000" w:rsidP="00BC54D1">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En efecto, al forzar al gobernado a entregar su CURP adminiculada con su geometría facial bajo la figura atenuada de una "Prueba de Vida", </w:t>
      </w:r>
      <w:r w:rsidR="00BC54D1">
        <w:rPr>
          <w:rFonts w:ascii="Century Gothic" w:eastAsia="Century Gothic" w:hAnsi="Century Gothic" w:cs="Century Gothic"/>
        </w:rPr>
        <w:t>violenta tajantemente el principio de autodeterminación informativa y genera la misma base de datos riesgosa que la SCJN ordenó proscribir.</w:t>
      </w:r>
    </w:p>
    <w:p w14:paraId="334E20C7" w14:textId="685946AD" w:rsidR="00C633A7" w:rsidRPr="00C633A7" w:rsidRDefault="00C633A7" w:rsidP="00C633A7">
      <w:pPr>
        <w:spacing w:line="360" w:lineRule="auto"/>
        <w:ind w:firstLine="1418"/>
        <w:jc w:val="both"/>
        <w:rPr>
          <w:rFonts w:ascii="Century Gothic" w:eastAsia="Century Gothic" w:hAnsi="Century Gothic" w:cs="Century Gothic"/>
        </w:rPr>
      </w:pPr>
      <w:r w:rsidRPr="00E309B9">
        <w:rPr>
          <w:rFonts w:ascii="Century Gothic" w:eastAsia="Century Gothic" w:hAnsi="Century Gothic" w:cs="Century Gothic"/>
        </w:rPr>
        <w:t>{{INICIA_ATT}}</w:t>
      </w:r>
      <w:r>
        <w:rPr>
          <w:rFonts w:ascii="Century Gothic" w:eastAsia="Century Gothic" w:hAnsi="Century Gothic" w:cs="Century Gothic"/>
        </w:rPr>
        <w:t xml:space="preserve"> </w:t>
      </w:r>
      <w:r w:rsidRPr="00A555A1">
        <w:rPr>
          <w:rFonts w:ascii="Century Gothic" w:eastAsia="Century Gothic" w:hAnsi="Century Gothic" w:cs="Century Gothic"/>
        </w:rPr>
        <w:t>Aunado a que esta imposición materializa una coacción inconstitucional en beneficio de terceros, pues como se acredita con el Aviso de Privacidad Integral de AT&amp;T México</w:t>
      </w:r>
      <w:r w:rsidRPr="00A555A1">
        <w:rPr>
          <w:rFonts w:ascii="Century Gothic" w:eastAsia="Century Gothic" w:hAnsi="Century Gothic" w:cs="Century Gothic"/>
          <w:vertAlign w:val="superscript"/>
        </w:rPr>
        <w:footnoteReference w:id="12"/>
      </w:r>
      <w:r w:rsidRPr="00A555A1">
        <w:rPr>
          <w:rFonts w:ascii="Century Gothic" w:eastAsia="Century Gothic" w:hAnsi="Century Gothic" w:cs="Century Gothic"/>
        </w:rPr>
        <w:t xml:space="preserve">, la empresa exige categóricamente como </w:t>
      </w:r>
      <w:r w:rsidRPr="00A555A1">
        <w:rPr>
          <w:rFonts w:ascii="Century Gothic" w:eastAsia="Century Gothic" w:hAnsi="Century Gothic" w:cs="Century Gothic"/>
          <w:b/>
          <w:bCs/>
        </w:rPr>
        <w:t>datos personales sensibles</w:t>
      </w:r>
      <w:r w:rsidRPr="00A555A1">
        <w:rPr>
          <w:rFonts w:ascii="Century Gothic" w:eastAsia="Century Gothic" w:hAnsi="Century Gothic" w:cs="Century Gothic"/>
        </w:rPr>
        <w:t xml:space="preserve"> (página 3 del Aviso de Privacidad Integral) una "Prueba de vida a través de Imagen en video o </w:t>
      </w:r>
      <w:r w:rsidRPr="00A555A1">
        <w:rPr>
          <w:rFonts w:ascii="Century Gothic" w:eastAsia="Century Gothic" w:hAnsi="Century Gothic" w:cs="Century Gothic"/>
        </w:rPr>
        <w:lastRenderedPageBreak/>
        <w:t>fotografía" y el tratamiento de biometría mediante "la comparación de rasgos faciales entre dos imágenes", la concesionaria responsable justifica esta invasión a la intimidad amparándose expresamente en las finalidades primarias de los Lineamientos y el artículo 103 de la LMTR (página 5 del Aviso de Privacidad Integral).</w:t>
      </w:r>
      <w:r>
        <w:rPr>
          <w:rFonts w:ascii="Century Gothic" w:eastAsia="Century Gothic" w:hAnsi="Century Gothic" w:cs="Century Gothic"/>
        </w:rPr>
        <w:t xml:space="preserve"> </w:t>
      </w:r>
    </w:p>
    <w:p w14:paraId="199F7054" w14:textId="1320DA6C" w:rsidR="00C16B8C" w:rsidRPr="00A555A1" w:rsidRDefault="00C16B8C" w:rsidP="00C16B8C">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En consecuencia, la autoridad ejecutora condiciona un servicio de interés público y el derecho humano de acceso a las telecomunicaciones a una sumisión corporativa. Por lo que, para no perder la línea telefónica, el usuario está obligado a aceptar el Aviso de Privacidad del operador, perdiendo el control de sus datos más íntimos, permitiendo, además que la empresa no solo capte el rostro, huellas o voz, sino que utilice esta biometría para alimentar algoritmos comerciales, entrenar herramientas de Inteligencia Artificial y realizar análisis crediticios (página 5 del Aviso de Privacidad Integral).</w:t>
      </w:r>
      <w:r w:rsidR="00FF5AB2" w:rsidRPr="00FF5AB2">
        <w:t xml:space="preserve"> </w:t>
      </w:r>
      <w:r w:rsidR="00FF5AB2" w:rsidRPr="00E309B9">
        <w:rPr>
          <w:rFonts w:ascii="Century Gothic" w:eastAsia="Century Gothic" w:hAnsi="Century Gothic" w:cs="Century Gothic"/>
        </w:rPr>
        <w:t>{{TERMINA_ATT}}</w:t>
      </w:r>
    </w:p>
    <w:p w14:paraId="2132155F" w14:textId="43F93F67" w:rsidR="003322CA" w:rsidRPr="00A555A1" w:rsidRDefault="00C633A7">
      <w:pPr>
        <w:spacing w:line="360" w:lineRule="auto"/>
        <w:ind w:firstLine="1418"/>
        <w:jc w:val="both"/>
        <w:rPr>
          <w:rFonts w:ascii="Century Gothic" w:eastAsia="Century Gothic" w:hAnsi="Century Gothic" w:cs="Century Gothic"/>
        </w:rPr>
      </w:pPr>
      <w:r w:rsidRPr="00E309B9">
        <w:rPr>
          <w:rFonts w:ascii="Century Gothic" w:eastAsia="Century Gothic" w:hAnsi="Century Gothic" w:cs="Century Gothic"/>
        </w:rPr>
        <w:t>{{INICIA_TELCEL}}</w:t>
      </w:r>
      <w:r>
        <w:rPr>
          <w:rFonts w:ascii="Century Gothic" w:eastAsia="Century Gothic" w:hAnsi="Century Gothic" w:cs="Century Gothic"/>
        </w:rPr>
        <w:t xml:space="preserve"> </w:t>
      </w:r>
      <w:r w:rsidR="00C16B8C" w:rsidRPr="00A555A1">
        <w:rPr>
          <w:rFonts w:ascii="Century Gothic" w:eastAsia="Century Gothic" w:hAnsi="Century Gothic" w:cs="Century Gothic"/>
        </w:rPr>
        <w:t xml:space="preserve">Aunado a que esta imposición materializa una coacción inconstitucional en beneficio de terceros, pues como se acredita con el Aviso de Privacidad </w:t>
      </w:r>
      <w:r w:rsidR="00014E20" w:rsidRPr="00A555A1">
        <w:rPr>
          <w:rFonts w:ascii="Century Gothic" w:eastAsia="Century Gothic" w:hAnsi="Century Gothic" w:cs="Century Gothic"/>
        </w:rPr>
        <w:t xml:space="preserve">de Clientes Vigentes </w:t>
      </w:r>
      <w:r w:rsidR="00916B20" w:rsidRPr="00A555A1">
        <w:rPr>
          <w:rFonts w:ascii="Century Gothic" w:eastAsia="Century Gothic" w:hAnsi="Century Gothic" w:cs="Century Gothic"/>
        </w:rPr>
        <w:t>Telcel</w:t>
      </w:r>
      <w:r w:rsidR="00916B20" w:rsidRPr="00A555A1">
        <w:rPr>
          <w:rStyle w:val="Refdenotaalpie"/>
          <w:rFonts w:ascii="Century Gothic" w:eastAsia="Century Gothic" w:hAnsi="Century Gothic" w:cs="Century Gothic"/>
        </w:rPr>
        <w:footnoteReference w:id="13"/>
      </w:r>
      <w:r w:rsidR="00014E20" w:rsidRPr="00A555A1">
        <w:rPr>
          <w:rFonts w:ascii="Century Gothic" w:eastAsia="Century Gothic" w:hAnsi="Century Gothic" w:cs="Century Gothic"/>
        </w:rPr>
        <w:t xml:space="preserve">, la empresa exige categóricamente como </w:t>
      </w:r>
      <w:r w:rsidR="00014E20" w:rsidRPr="00A555A1">
        <w:rPr>
          <w:rFonts w:ascii="Century Gothic" w:eastAsia="Century Gothic" w:hAnsi="Century Gothic" w:cs="Century Gothic"/>
          <w:b/>
          <w:bCs/>
        </w:rPr>
        <w:t>datos personales sensibles</w:t>
      </w:r>
      <w:r w:rsidR="00014E20" w:rsidRPr="00A555A1">
        <w:rPr>
          <w:rFonts w:ascii="Century Gothic" w:eastAsia="Century Gothic" w:hAnsi="Century Gothic" w:cs="Century Gothic"/>
        </w:rPr>
        <w:t xml:space="preserve"> (apartado de “Datos personales sujetos a tratamiento y medios de obtención”)</w:t>
      </w:r>
      <w:r w:rsidR="00786DF5" w:rsidRPr="00A555A1">
        <w:rPr>
          <w:rFonts w:ascii="Century Gothic" w:eastAsia="Century Gothic" w:hAnsi="Century Gothic" w:cs="Century Gothic"/>
        </w:rPr>
        <w:t xml:space="preserve"> los "datos biométricos referentes a sus huellas dactilares y características del rostro"</w:t>
      </w:r>
      <w:r w:rsidR="00014E20" w:rsidRPr="00A555A1">
        <w:rPr>
          <w:rFonts w:ascii="Century Gothic" w:eastAsia="Century Gothic" w:hAnsi="Century Gothic" w:cs="Century Gothic"/>
        </w:rPr>
        <w:t xml:space="preserve">. La concesionaria responsable justifica esta invasión a la intimidad amparándose expresamente en el cumplimiento de la normatividad y la verificación ante el Instituto Nacional Electoral (apartado de “Finalidades primarias del tratamiento”). </w:t>
      </w:r>
    </w:p>
    <w:p w14:paraId="13A1E8ED" w14:textId="77777777" w:rsidR="00FF5AB2" w:rsidRPr="00FF5AB2" w:rsidRDefault="003322CA" w:rsidP="00FF5AB2">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En consecuencia, la autoridad ejecutora condiciona un servicio de interés público y el derecho humano de acceso a las telecomunicaciones a una sumisión corporativa. Por lo que, p</w:t>
      </w:r>
      <w:r w:rsidR="00014E20" w:rsidRPr="00A555A1">
        <w:rPr>
          <w:rFonts w:ascii="Century Gothic" w:eastAsia="Century Gothic" w:hAnsi="Century Gothic" w:cs="Century Gothic"/>
        </w:rPr>
        <w:t>ara no perder la línea telefónica, el usuario está obligado a ceder el control de sus datos más íntimos, permitiendo que Telcel no solo capte el rostro o huellas, sino que someta la información a "tratamientos automatizados"</w:t>
      </w:r>
      <w:r w:rsidR="00C16B8C" w:rsidRPr="00A555A1">
        <w:rPr>
          <w:rFonts w:ascii="Century Gothic" w:eastAsia="Century Gothic" w:hAnsi="Century Gothic" w:cs="Century Gothic"/>
        </w:rPr>
        <w:t xml:space="preserve">, </w:t>
      </w:r>
      <w:r w:rsidR="00014E20" w:rsidRPr="00A555A1">
        <w:rPr>
          <w:rFonts w:ascii="Century Gothic" w:eastAsia="Century Gothic" w:hAnsi="Century Gothic" w:cs="Century Gothic"/>
        </w:rPr>
        <w:t>para elaborar perfiles y "evaluar su comportamiento y capacidad crediticia"</w:t>
      </w:r>
      <w:r w:rsidR="00C16B8C" w:rsidRPr="00A555A1">
        <w:rPr>
          <w:rFonts w:ascii="Century Gothic" w:eastAsia="Century Gothic" w:hAnsi="Century Gothic" w:cs="Century Gothic"/>
        </w:rPr>
        <w:t xml:space="preserve"> (apartado de “Finalidades primarias del tratamiento”)</w:t>
      </w:r>
      <w:r w:rsidR="00014E20" w:rsidRPr="00A555A1">
        <w:rPr>
          <w:rFonts w:ascii="Century Gothic" w:eastAsia="Century Gothic" w:hAnsi="Century Gothic" w:cs="Century Gothic"/>
        </w:rPr>
        <w:t>, mercantilizando la identidad del usuario bajo el pretexto</w:t>
      </w:r>
      <w:r w:rsidR="00C16B8C" w:rsidRPr="00A555A1">
        <w:rPr>
          <w:rFonts w:ascii="Century Gothic" w:eastAsia="Century Gothic" w:hAnsi="Century Gothic" w:cs="Century Gothic"/>
        </w:rPr>
        <w:t xml:space="preserve"> del cumplimiento de la normatividad</w:t>
      </w:r>
      <w:r w:rsidR="00014E20" w:rsidRPr="00A555A1">
        <w:rPr>
          <w:rFonts w:ascii="Century Gothic" w:eastAsia="Century Gothic" w:hAnsi="Century Gothic" w:cs="Century Gothic"/>
        </w:rPr>
        <w:t>.</w:t>
      </w:r>
      <w:r w:rsidR="00C633A7">
        <w:rPr>
          <w:rFonts w:ascii="Century Gothic" w:eastAsia="Century Gothic" w:hAnsi="Century Gothic" w:cs="Century Gothic"/>
        </w:rPr>
        <w:t xml:space="preserve"> </w:t>
      </w:r>
      <w:r w:rsidR="00FF5AB2" w:rsidRPr="00E309B9">
        <w:rPr>
          <w:rFonts w:ascii="Century Gothic" w:eastAsia="Century Gothic" w:hAnsi="Century Gothic" w:cs="Century Gothic"/>
        </w:rPr>
        <w:t>{{TERMINA_TELCEL}}</w:t>
      </w:r>
    </w:p>
    <w:p w14:paraId="0846137E" w14:textId="4C02231E" w:rsidR="00C633A7" w:rsidRPr="00C633A7" w:rsidRDefault="00C633A7" w:rsidP="00C633A7">
      <w:pPr>
        <w:spacing w:line="360" w:lineRule="auto"/>
        <w:ind w:firstLine="1418"/>
        <w:jc w:val="both"/>
        <w:rPr>
          <w:rFonts w:ascii="Century Gothic" w:eastAsia="Century Gothic" w:hAnsi="Century Gothic" w:cs="Century Gothic"/>
        </w:rPr>
      </w:pPr>
      <w:r w:rsidRPr="00E309B9">
        <w:rPr>
          <w:rFonts w:ascii="Century Gothic" w:eastAsia="Century Gothic" w:hAnsi="Century Gothic" w:cs="Century Gothic"/>
        </w:rPr>
        <w:lastRenderedPageBreak/>
        <w:t>{{INICIA_MOVISTAR}}</w:t>
      </w:r>
      <w:r>
        <w:rPr>
          <w:rFonts w:ascii="Century Gothic" w:eastAsia="Century Gothic" w:hAnsi="Century Gothic" w:cs="Century Gothic"/>
        </w:rPr>
        <w:t xml:space="preserve"> </w:t>
      </w:r>
      <w:r w:rsidR="003322CA" w:rsidRPr="00A555A1">
        <w:rPr>
          <w:rFonts w:ascii="Century Gothic" w:eastAsia="Century Gothic" w:hAnsi="Century Gothic" w:cs="Century Gothic"/>
        </w:rPr>
        <w:t>Aunado a que esta imposición materializa una coacción inconstitucional en beneficio de terceros, pues como se acredita con el Aviso de Privacidad Integral para Clientes de Movistar</w:t>
      </w:r>
      <w:r w:rsidR="003322CA" w:rsidRPr="00A555A1">
        <w:rPr>
          <w:rFonts w:ascii="Century Gothic" w:eastAsia="Century Gothic" w:hAnsi="Century Gothic" w:cs="Century Gothic"/>
          <w:vertAlign w:val="superscript"/>
        </w:rPr>
        <w:footnoteReference w:id="14"/>
      </w:r>
      <w:r w:rsidR="003322CA" w:rsidRPr="00A555A1">
        <w:rPr>
          <w:rFonts w:ascii="Century Gothic" w:eastAsia="Century Gothic" w:hAnsi="Century Gothic" w:cs="Century Gothic"/>
        </w:rPr>
        <w:t xml:space="preserve">, la empresa exige categóricamente como </w:t>
      </w:r>
      <w:r w:rsidR="003322CA" w:rsidRPr="00A555A1">
        <w:rPr>
          <w:rFonts w:ascii="Century Gothic" w:eastAsia="Century Gothic" w:hAnsi="Century Gothic" w:cs="Century Gothic"/>
          <w:b/>
          <w:bCs/>
        </w:rPr>
        <w:t>datos personales sensibles</w:t>
      </w:r>
      <w:r w:rsidR="003322CA" w:rsidRPr="00A555A1">
        <w:rPr>
          <w:rFonts w:ascii="Century Gothic" w:eastAsia="Century Gothic" w:hAnsi="Century Gothic" w:cs="Century Gothic"/>
        </w:rPr>
        <w:t xml:space="preserve"> (</w:t>
      </w:r>
      <w:r w:rsidR="006A2543" w:rsidRPr="00A555A1">
        <w:rPr>
          <w:rFonts w:ascii="Century Gothic" w:eastAsia="Century Gothic" w:hAnsi="Century Gothic" w:cs="Century Gothic"/>
        </w:rPr>
        <w:t xml:space="preserve">apartado 4. DATOS PERSONALES QUE RECABAMOS) </w:t>
      </w:r>
      <w:r w:rsidR="003322CA" w:rsidRPr="00A555A1">
        <w:rPr>
          <w:rFonts w:ascii="Century Gothic" w:eastAsia="Century Gothic" w:hAnsi="Century Gothic" w:cs="Century Gothic"/>
        </w:rPr>
        <w:t>"</w:t>
      </w:r>
      <w:r w:rsidR="006A2543" w:rsidRPr="00A555A1">
        <w:rPr>
          <w:rFonts w:ascii="Century Gothic" w:eastAsia="Century Gothic" w:hAnsi="Century Gothic" w:cs="Century Gothic"/>
          <w:i/>
          <w:iCs/>
        </w:rPr>
        <w:t>datos biométricos, consistentes en la imagen facial, minucias de las huellas dactilares y/o grabaciones de voz"</w:t>
      </w:r>
      <w:r w:rsidR="006A2543" w:rsidRPr="00A555A1">
        <w:rPr>
          <w:rFonts w:ascii="Century Gothic" w:eastAsia="Century Gothic" w:hAnsi="Century Gothic" w:cs="Century Gothic"/>
        </w:rPr>
        <w:t xml:space="preserve">, </w:t>
      </w:r>
      <w:r w:rsidR="003322CA" w:rsidRPr="00A555A1">
        <w:rPr>
          <w:rFonts w:ascii="Century Gothic" w:eastAsia="Century Gothic" w:hAnsi="Century Gothic" w:cs="Century Gothic"/>
        </w:rPr>
        <w:t>la concesionaria responsable justifica esta invasión a la intimidad amparándose expresamente en</w:t>
      </w:r>
      <w:r w:rsidR="006A2543" w:rsidRPr="00A555A1">
        <w:rPr>
          <w:rFonts w:ascii="Century Gothic" w:eastAsia="Century Gothic" w:hAnsi="Century Gothic" w:cs="Century Gothic"/>
        </w:rPr>
        <w:t xml:space="preserve"> la obligación de corroborar la identidad a través de la verificación ante el INE y a </w:t>
      </w:r>
      <w:r w:rsidR="006A2543" w:rsidRPr="00A555A1">
        <w:rPr>
          <w:rFonts w:ascii="Century Gothic" w:eastAsia="Century Gothic" w:hAnsi="Century Gothic" w:cs="Century Gothic"/>
          <w:i/>
          <w:iCs/>
        </w:rPr>
        <w:t>“cumplir con las obligaciones previstas en la normatividad aplicable, incluyendo la atención de requerimientos de autoridades competentes y la implementación de registros y/o plataformas correspondientes”</w:t>
      </w:r>
      <w:r w:rsidR="006A2543" w:rsidRPr="00A555A1">
        <w:rPr>
          <w:rFonts w:ascii="Century Gothic" w:eastAsia="Century Gothic" w:hAnsi="Century Gothic" w:cs="Century Gothic"/>
        </w:rPr>
        <w:t xml:space="preserve"> (apartado 5. FINALIDAD DE LOS DATOS PERSONALES).</w:t>
      </w:r>
      <w:r>
        <w:rPr>
          <w:rFonts w:ascii="Century Gothic" w:eastAsia="Century Gothic" w:hAnsi="Century Gothic" w:cs="Century Gothic"/>
        </w:rPr>
        <w:t xml:space="preserve"> </w:t>
      </w:r>
    </w:p>
    <w:p w14:paraId="159BE49F" w14:textId="77777777" w:rsidR="00FF5AB2" w:rsidRPr="00FF5AB2" w:rsidRDefault="003322CA" w:rsidP="00FF5AB2">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En consecuencia, la autoridad ejecutora condiciona un servicio de interés público y el derecho humano de acceso a las telecomunicaciones a una sumisión corporativa. Por lo que, para no perder la línea telefónica, </w:t>
      </w:r>
      <w:r w:rsidR="006A2543" w:rsidRPr="00A555A1">
        <w:rPr>
          <w:rFonts w:ascii="Century Gothic" w:eastAsia="Century Gothic" w:hAnsi="Century Gothic" w:cs="Century Gothic"/>
        </w:rPr>
        <w:t xml:space="preserve">el usuario está obligado a ceder el control de sus datos más íntimos, permitiendo que la concesionaria responsable no solo extraiga su biometría, sino que la procese mediante la </w:t>
      </w:r>
      <w:r w:rsidR="006A2543" w:rsidRPr="00A555A1">
        <w:rPr>
          <w:rFonts w:ascii="Century Gothic" w:eastAsia="Century Gothic" w:hAnsi="Century Gothic" w:cs="Century Gothic"/>
          <w:i/>
          <w:iCs/>
        </w:rPr>
        <w:t>"toma de decisiones automatizadas, sin la intervención directa de una persona física"</w:t>
      </w:r>
      <w:r w:rsidR="006A2543" w:rsidRPr="00A555A1">
        <w:rPr>
          <w:rFonts w:ascii="Century Gothic" w:eastAsia="Century Gothic" w:hAnsi="Century Gothic" w:cs="Century Gothic"/>
        </w:rPr>
        <w:t xml:space="preserve"> para el </w:t>
      </w:r>
      <w:r w:rsidR="006A2543" w:rsidRPr="00A555A1">
        <w:rPr>
          <w:rFonts w:ascii="Century Gothic" w:eastAsia="Century Gothic" w:hAnsi="Century Gothic" w:cs="Century Gothic"/>
          <w:i/>
          <w:iCs/>
        </w:rPr>
        <w:t>"entrenamiento, desarrollo y mejora de las capacidades de sus sistemas, incluyendo herramientas de Inteligencia Artificial"</w:t>
      </w:r>
      <w:r w:rsidR="00786DF5" w:rsidRPr="00A555A1">
        <w:rPr>
          <w:rFonts w:ascii="Century Gothic" w:eastAsia="Century Gothic" w:hAnsi="Century Gothic" w:cs="Century Gothic"/>
          <w:i/>
          <w:iCs/>
        </w:rPr>
        <w:t xml:space="preserve"> </w:t>
      </w:r>
      <w:r w:rsidR="00786DF5" w:rsidRPr="00A555A1">
        <w:rPr>
          <w:rFonts w:ascii="Century Gothic" w:eastAsia="Century Gothic" w:hAnsi="Century Gothic" w:cs="Century Gothic"/>
        </w:rPr>
        <w:t>(apartado 6. USO DE INTELIGENCIA ARTIFICIAL), adicionalmente, la concesionaria se aprovecha de esta extracción obligada para realizar un “análisis de riesgo económico y crediticio” y ofrecer productos, servicios, contenidos y publicidad a la parte quejosa (apartado 5. FINALIDADES DE LOS DATOS PERSONALES).</w:t>
      </w:r>
      <w:r w:rsidR="00C633A7">
        <w:rPr>
          <w:rFonts w:ascii="Century Gothic" w:eastAsia="Century Gothic" w:hAnsi="Century Gothic" w:cs="Century Gothic"/>
        </w:rPr>
        <w:t xml:space="preserve"> </w:t>
      </w:r>
      <w:r w:rsidR="00FF5AB2" w:rsidRPr="00E309B9">
        <w:rPr>
          <w:rFonts w:ascii="Century Gothic" w:eastAsia="Century Gothic" w:hAnsi="Century Gothic" w:cs="Century Gothic"/>
        </w:rPr>
        <w:t>{{TERMINA_MOVISTAR}}</w:t>
      </w:r>
    </w:p>
    <w:p w14:paraId="6B65E275" w14:textId="090A016E" w:rsidR="007A1F51" w:rsidRPr="00C633A7" w:rsidRDefault="00C633A7" w:rsidP="00C633A7">
      <w:pPr>
        <w:spacing w:line="360" w:lineRule="auto"/>
        <w:ind w:firstLine="1418"/>
        <w:jc w:val="both"/>
        <w:rPr>
          <w:rFonts w:ascii="Century Gothic" w:eastAsia="Century Gothic" w:hAnsi="Century Gothic" w:cs="Century Gothic"/>
        </w:rPr>
      </w:pPr>
      <w:r w:rsidRPr="00E309B9">
        <w:rPr>
          <w:rFonts w:ascii="Century Gothic" w:eastAsia="Century Gothic" w:hAnsi="Century Gothic" w:cs="Century Gothic"/>
        </w:rPr>
        <w:t>{{INICIA_BAIT}}</w:t>
      </w:r>
      <w:r>
        <w:rPr>
          <w:rFonts w:ascii="Century Gothic" w:eastAsia="Century Gothic" w:hAnsi="Century Gothic" w:cs="Century Gothic"/>
        </w:rPr>
        <w:t xml:space="preserve"> </w:t>
      </w:r>
      <w:r w:rsidR="00734721" w:rsidRPr="00A555A1">
        <w:rPr>
          <w:rFonts w:ascii="Century Gothic" w:eastAsia="Century Gothic" w:hAnsi="Century Gothic" w:cs="Century Gothic"/>
        </w:rPr>
        <w:t>Aunado a que esta imposición materializa una coacción inconstitucional en beneficio de terceros, pues como se acredita con el Aviso de Privacidad Integral de Bait, marca operada por Walmart</w:t>
      </w:r>
      <w:r w:rsidR="00734721" w:rsidRPr="00A555A1">
        <w:rPr>
          <w:rStyle w:val="Refdenotaalpie"/>
          <w:rFonts w:ascii="Century Gothic" w:eastAsia="Century Gothic" w:hAnsi="Century Gothic" w:cs="Century Gothic"/>
        </w:rPr>
        <w:footnoteReference w:id="15"/>
      </w:r>
      <w:r w:rsidR="00734721" w:rsidRPr="00A555A1">
        <w:rPr>
          <w:rFonts w:ascii="Century Gothic" w:eastAsia="Century Gothic" w:hAnsi="Century Gothic" w:cs="Century Gothic"/>
        </w:rPr>
        <w:t xml:space="preserve"> , la empresa exige categóricamente como </w:t>
      </w:r>
      <w:r w:rsidR="00734721" w:rsidRPr="00A555A1">
        <w:rPr>
          <w:rFonts w:ascii="Century Gothic" w:eastAsia="Century Gothic" w:hAnsi="Century Gothic" w:cs="Century Gothic"/>
          <w:b/>
          <w:bCs/>
        </w:rPr>
        <w:t>datos personales sensibles</w:t>
      </w:r>
      <w:r w:rsidR="00734721" w:rsidRPr="00A555A1">
        <w:rPr>
          <w:rFonts w:ascii="Century Gothic" w:eastAsia="Century Gothic" w:hAnsi="Century Gothic" w:cs="Century Gothic"/>
        </w:rPr>
        <w:t xml:space="preserve"> (apartado 03. ¿Con qué fin recolectamos datos? – Servicios de Telecomunicaciones) </w:t>
      </w:r>
      <w:r w:rsidR="00734721" w:rsidRPr="00A555A1">
        <w:rPr>
          <w:rFonts w:ascii="Century Gothic" w:eastAsia="Century Gothic" w:hAnsi="Century Gothic" w:cs="Century Gothic"/>
          <w:i/>
          <w:iCs/>
        </w:rPr>
        <w:t>"biometría facial"</w:t>
      </w:r>
      <w:r w:rsidR="00734721" w:rsidRPr="00A555A1">
        <w:rPr>
          <w:rFonts w:ascii="Century Gothic" w:eastAsia="Century Gothic" w:hAnsi="Century Gothic" w:cs="Century Gothic"/>
        </w:rPr>
        <w:t xml:space="preserve"> y </w:t>
      </w:r>
      <w:r w:rsidR="00734721" w:rsidRPr="00A555A1">
        <w:rPr>
          <w:rFonts w:ascii="Century Gothic" w:eastAsia="Century Gothic" w:hAnsi="Century Gothic" w:cs="Century Gothic"/>
          <w:i/>
          <w:iCs/>
        </w:rPr>
        <w:t>"huellas dactilares"</w:t>
      </w:r>
      <w:r w:rsidR="007A1F51" w:rsidRPr="00A555A1">
        <w:rPr>
          <w:rFonts w:ascii="Century Gothic" w:eastAsia="Century Gothic" w:hAnsi="Century Gothic" w:cs="Century Gothic"/>
        </w:rPr>
        <w:t>,</w:t>
      </w:r>
      <w:r w:rsidR="00734721" w:rsidRPr="00A555A1">
        <w:rPr>
          <w:rFonts w:ascii="Century Gothic" w:eastAsia="Century Gothic" w:hAnsi="Century Gothic" w:cs="Century Gothic"/>
        </w:rPr>
        <w:t xml:space="preserve"> la concesionaria responsable justifica esta invasión a la intimidad amparándose expresamente </w:t>
      </w:r>
      <w:r w:rsidR="007A1F51" w:rsidRPr="00A555A1">
        <w:rPr>
          <w:rFonts w:ascii="Century Gothic" w:eastAsia="Century Gothic" w:hAnsi="Century Gothic" w:cs="Century Gothic"/>
        </w:rPr>
        <w:t xml:space="preserve">en la obligación de </w:t>
      </w:r>
      <w:r w:rsidR="007A1F51" w:rsidRPr="00A555A1">
        <w:rPr>
          <w:rFonts w:ascii="Century Gothic" w:eastAsia="Century Gothic" w:hAnsi="Century Gothic" w:cs="Century Gothic"/>
        </w:rPr>
        <w:lastRenderedPageBreak/>
        <w:t xml:space="preserve">verificar la coincidencia de dichos datos ante el INE, la SRE y la SEGOB, así como </w:t>
      </w:r>
      <w:r w:rsidR="007A1F51" w:rsidRPr="00A555A1">
        <w:rPr>
          <w:rFonts w:ascii="Century Gothic" w:eastAsia="Century Gothic" w:hAnsi="Century Gothic" w:cs="Century Gothic"/>
          <w:i/>
          <w:iCs/>
        </w:rPr>
        <w:t xml:space="preserve">“cumplir con leyes” </w:t>
      </w:r>
      <w:r w:rsidR="007A1F51" w:rsidRPr="00A555A1">
        <w:rPr>
          <w:rFonts w:ascii="Century Gothic" w:eastAsia="Century Gothic" w:hAnsi="Century Gothic" w:cs="Century Gothic"/>
        </w:rPr>
        <w:t>(apartado 03. ¿Con qué fin recolectamos datos? – Prevención, Videovigilancia y Cumplimiento Normativo).</w:t>
      </w:r>
    </w:p>
    <w:p w14:paraId="532C5BAB" w14:textId="48E15812" w:rsidR="00FF5AB2" w:rsidRPr="00FF5AB2" w:rsidRDefault="00734721" w:rsidP="00FF5AB2">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En consecuencia, la autoridad ejecutora condiciona un servicio de interés público y el derecho humano de acceso a las telecomunicaciones a una sumisión corporativa. Por lo que, para no perder la línea telefónica, el usuario está obligado a aceptar el Aviso de Privacidad del operador, perdiendo el control de sus datos más íntimos, permitiendo, además que la empresa no solo capte el rostro, huellas o voz, sino que utilice esta biometría para</w:t>
      </w:r>
      <w:r w:rsidR="007A1F51" w:rsidRPr="00A555A1">
        <w:rPr>
          <w:rFonts w:ascii="Century Gothic" w:eastAsia="Century Gothic" w:hAnsi="Century Gothic" w:cs="Century Gothic"/>
        </w:rPr>
        <w:t xml:space="preserve"> “</w:t>
      </w:r>
      <w:r w:rsidR="007A1F51" w:rsidRPr="00A555A1">
        <w:rPr>
          <w:rFonts w:ascii="Century Gothic" w:eastAsia="Century Gothic" w:hAnsi="Century Gothic" w:cs="Century Gothic"/>
          <w:i/>
          <w:iCs/>
        </w:rPr>
        <w:t>tratamientos automatizados sin intervención humana” para</w:t>
      </w:r>
      <w:r w:rsidR="00CD67EE">
        <w:rPr>
          <w:rFonts w:ascii="Century Gothic" w:eastAsia="Century Gothic" w:hAnsi="Century Gothic" w:cs="Century Gothic"/>
          <w:i/>
          <w:iCs/>
        </w:rPr>
        <w:t xml:space="preserve"> </w:t>
      </w:r>
      <w:r w:rsidR="007A1F51" w:rsidRPr="00A555A1">
        <w:rPr>
          <w:rFonts w:ascii="Century Gothic" w:eastAsia="Century Gothic" w:hAnsi="Century Gothic" w:cs="Century Gothic"/>
          <w:i/>
          <w:iCs/>
        </w:rPr>
        <w:t>la finalidad relativa a servicio Pospago Bait</w:t>
      </w:r>
      <w:r w:rsidR="007A1F51" w:rsidRPr="00A555A1">
        <w:rPr>
          <w:rFonts w:ascii="Century Gothic" w:eastAsia="Century Gothic" w:hAnsi="Century Gothic" w:cs="Century Gothic"/>
        </w:rPr>
        <w:t xml:space="preserve">, sino que aprovecha esta captura obligatoria para llevar a cabo el </w:t>
      </w:r>
      <w:r w:rsidR="007A1F51" w:rsidRPr="00A555A1">
        <w:rPr>
          <w:rFonts w:ascii="Century Gothic" w:eastAsia="Century Gothic" w:hAnsi="Century Gothic" w:cs="Century Gothic"/>
          <w:i/>
          <w:iCs/>
        </w:rPr>
        <w:t>“procesamiento de imágenes y/o voz”</w:t>
      </w:r>
      <w:r w:rsidR="007A1F51" w:rsidRPr="00A555A1">
        <w:rPr>
          <w:rFonts w:ascii="Century Gothic" w:eastAsia="Century Gothic" w:hAnsi="Century Gothic" w:cs="Century Gothic"/>
        </w:rPr>
        <w:t xml:space="preserve"> y realizar un </w:t>
      </w:r>
      <w:r w:rsidR="007A1F51" w:rsidRPr="00A555A1">
        <w:rPr>
          <w:rFonts w:ascii="Century Gothic" w:eastAsia="Century Gothic" w:hAnsi="Century Gothic" w:cs="Century Gothic"/>
          <w:i/>
          <w:iCs/>
        </w:rPr>
        <w:t>“perfilamiento mediante el uso de Inteligencia Artificial”</w:t>
      </w:r>
      <w:r w:rsidR="00C423A9" w:rsidRPr="00A555A1">
        <w:rPr>
          <w:rFonts w:ascii="Century Gothic" w:eastAsia="Century Gothic" w:hAnsi="Century Gothic" w:cs="Century Gothic"/>
          <w:i/>
          <w:iCs/>
        </w:rPr>
        <w:t xml:space="preserve"> </w:t>
      </w:r>
      <w:r w:rsidR="00C423A9" w:rsidRPr="00A555A1">
        <w:rPr>
          <w:rFonts w:ascii="Century Gothic" w:eastAsia="Century Gothic" w:hAnsi="Century Gothic" w:cs="Century Gothic"/>
        </w:rPr>
        <w:t>para ofrecer bienes, productos y/o servicios</w:t>
      </w:r>
      <w:r w:rsidR="007A1F51" w:rsidRPr="00A555A1">
        <w:rPr>
          <w:rFonts w:ascii="Century Gothic" w:eastAsia="Century Gothic" w:hAnsi="Century Gothic" w:cs="Century Gothic"/>
        </w:rPr>
        <w:t xml:space="preserve"> </w:t>
      </w:r>
      <w:r w:rsidR="00C423A9" w:rsidRPr="00A555A1">
        <w:rPr>
          <w:rFonts w:ascii="Century Gothic" w:eastAsia="Century Gothic" w:hAnsi="Century Gothic" w:cs="Century Gothic"/>
        </w:rPr>
        <w:t>(apartado 03. ¿Con qué fin recolectamos datos? – Finalidades secundarias).</w:t>
      </w:r>
      <w:r w:rsidR="00C633A7">
        <w:rPr>
          <w:rFonts w:ascii="Century Gothic" w:eastAsia="Century Gothic" w:hAnsi="Century Gothic" w:cs="Century Gothic"/>
        </w:rPr>
        <w:t xml:space="preserve"> </w:t>
      </w:r>
      <w:r w:rsidR="00FF5AB2" w:rsidRPr="00E309B9">
        <w:rPr>
          <w:rFonts w:ascii="Century Gothic" w:eastAsia="Century Gothic" w:hAnsi="Century Gothic" w:cs="Century Gothic"/>
        </w:rPr>
        <w:t>{{TERMINA_BAIT}}</w:t>
      </w:r>
    </w:p>
    <w:p w14:paraId="5BCDF2B4" w14:textId="5D53FCB7" w:rsidR="00001DF2" w:rsidRPr="00A555A1" w:rsidRDefault="00000000">
      <w:pPr>
        <w:spacing w:line="360" w:lineRule="auto"/>
        <w:ind w:firstLine="1418"/>
        <w:jc w:val="both"/>
        <w:rPr>
          <w:rFonts w:ascii="Century Gothic" w:eastAsia="Century Gothic" w:hAnsi="Century Gothic" w:cs="Century Gothic"/>
          <w:i/>
          <w:iCs/>
        </w:rPr>
      </w:pPr>
      <w:r w:rsidRPr="00A555A1">
        <w:rPr>
          <w:rFonts w:ascii="Century Gothic" w:eastAsia="Century Gothic" w:hAnsi="Century Gothic" w:cs="Century Gothic"/>
        </w:rPr>
        <w:t xml:space="preserve">Por consiguiente, los Lineamientos y el artículo 103 de la LMTR colapsan ante el test de proporcionalidad, pues habilitan una injerencia arbitraria y desmedida, pues el Estado utiliza la amenaza de la desconexión telefónica para forzar a los mexicanos a entregar su identidad biométrica, situación que ya fue invalidada por la SCJN, máxime que el máximo Tribunal ha establecido que </w:t>
      </w:r>
      <w:r w:rsidRPr="00A555A1">
        <w:rPr>
          <w:rFonts w:ascii="Century Gothic" w:eastAsia="Century Gothic" w:hAnsi="Century Gothic" w:cs="Century Gothic"/>
          <w:b/>
          <w:bCs/>
        </w:rPr>
        <w:t>la privacidad, intimidad y protección de datos</w:t>
      </w:r>
      <w:r w:rsidRPr="00A555A1">
        <w:rPr>
          <w:rFonts w:ascii="Century Gothic" w:eastAsia="Century Gothic" w:hAnsi="Century Gothic" w:cs="Century Gothic"/>
        </w:rPr>
        <w:t xml:space="preserve"> </w:t>
      </w:r>
      <w:r w:rsidRPr="00A555A1">
        <w:rPr>
          <w:rFonts w:ascii="Century Gothic" w:eastAsia="Century Gothic" w:hAnsi="Century Gothic" w:cs="Century Gothic"/>
          <w:i/>
          <w:iCs/>
          <w:sz w:val="22"/>
          <w:szCs w:val="22"/>
        </w:rPr>
        <w:t>“dan lugar a un bloque de defensa el cual busca proteger al individuo de cualquier interferencia o molestia que pudiera efectuarse sobre la esfera de su privacidad, entendida en sentido lato</w:t>
      </w:r>
      <w:r w:rsidR="00916B20" w:rsidRPr="00A555A1">
        <w:rPr>
          <w:rFonts w:ascii="Century Gothic" w:eastAsia="Century Gothic" w:hAnsi="Century Gothic" w:cs="Century Gothic"/>
          <w:i/>
          <w:iCs/>
          <w:sz w:val="22"/>
          <w:szCs w:val="22"/>
        </w:rPr>
        <w:t xml:space="preserve">, </w:t>
      </w:r>
      <w:r w:rsidR="00916B20" w:rsidRPr="00A555A1">
        <w:rPr>
          <w:rFonts w:ascii="Century Gothic" w:eastAsia="Century Gothic" w:hAnsi="Century Gothic" w:cs="Century Gothic"/>
          <w:b/>
          <w:bCs/>
          <w:i/>
          <w:iCs/>
          <w:sz w:val="22"/>
          <w:szCs w:val="22"/>
        </w:rPr>
        <w:t>POR CUALQUIER MEDIO</w:t>
      </w:r>
      <w:r w:rsidR="00916B20" w:rsidRPr="00A555A1">
        <w:rPr>
          <w:rFonts w:ascii="Century Gothic" w:eastAsia="Century Gothic" w:hAnsi="Century Gothic" w:cs="Century Gothic"/>
          <w:i/>
          <w:iCs/>
          <w:sz w:val="22"/>
          <w:szCs w:val="22"/>
        </w:rPr>
        <w:t xml:space="preserve">, </w:t>
      </w:r>
      <w:r w:rsidR="00FE02DF" w:rsidRPr="00A555A1">
        <w:rPr>
          <w:rFonts w:ascii="Century Gothic" w:eastAsia="Century Gothic" w:hAnsi="Century Gothic" w:cs="Century Gothic"/>
          <w:b/>
          <w:bCs/>
          <w:i/>
          <w:iCs/>
          <w:sz w:val="22"/>
          <w:szCs w:val="22"/>
        </w:rPr>
        <w:t>YA SEA QUE PROVENGAN DE PARTICULARES</w:t>
      </w:r>
      <w:r w:rsidRPr="00A555A1">
        <w:rPr>
          <w:rFonts w:ascii="Century Gothic" w:eastAsia="Century Gothic" w:hAnsi="Century Gothic" w:cs="Century Gothic"/>
          <w:b/>
          <w:bCs/>
          <w:i/>
          <w:iCs/>
          <w:sz w:val="22"/>
          <w:szCs w:val="22"/>
        </w:rPr>
        <w:t xml:space="preserve"> o</w:t>
      </w:r>
      <w:r w:rsidRPr="00A555A1">
        <w:rPr>
          <w:rFonts w:ascii="Century Gothic" w:eastAsia="Century Gothic" w:hAnsi="Century Gothic" w:cs="Century Gothic"/>
          <w:i/>
          <w:iCs/>
          <w:sz w:val="22"/>
          <w:szCs w:val="22"/>
        </w:rPr>
        <w:t xml:space="preserve"> bien, </w:t>
      </w:r>
      <w:r w:rsidRPr="00A555A1">
        <w:rPr>
          <w:rFonts w:ascii="Century Gothic" w:eastAsia="Century Gothic" w:hAnsi="Century Gothic" w:cs="Century Gothic"/>
          <w:b/>
          <w:bCs/>
          <w:i/>
          <w:iCs/>
          <w:sz w:val="22"/>
          <w:szCs w:val="22"/>
        </w:rPr>
        <w:t>del</w:t>
      </w:r>
      <w:r w:rsidRPr="00A555A1">
        <w:rPr>
          <w:rFonts w:ascii="Century Gothic" w:eastAsia="Century Gothic" w:hAnsi="Century Gothic" w:cs="Century Gothic"/>
          <w:i/>
          <w:iCs/>
          <w:sz w:val="22"/>
          <w:szCs w:val="22"/>
        </w:rPr>
        <w:t xml:space="preserve"> propio </w:t>
      </w:r>
      <w:r w:rsidRPr="00A555A1">
        <w:rPr>
          <w:rFonts w:ascii="Century Gothic" w:eastAsia="Century Gothic" w:hAnsi="Century Gothic" w:cs="Century Gothic"/>
          <w:b/>
          <w:bCs/>
          <w:i/>
          <w:iCs/>
          <w:sz w:val="22"/>
          <w:szCs w:val="22"/>
        </w:rPr>
        <w:t>Estado</w:t>
      </w:r>
      <w:r w:rsidRPr="00A555A1">
        <w:rPr>
          <w:rFonts w:ascii="Century Gothic" w:eastAsia="Century Gothic" w:hAnsi="Century Gothic" w:cs="Century Gothic"/>
          <w:i/>
          <w:iCs/>
        </w:rPr>
        <w:t>”.</w:t>
      </w:r>
    </w:p>
    <w:p w14:paraId="65FC74D6" w14:textId="77777777" w:rsidR="00BC54D1" w:rsidRDefault="00BC54D1" w:rsidP="00BC54D1">
      <w:pPr>
        <w:spacing w:line="360" w:lineRule="auto"/>
        <w:ind w:firstLine="1418"/>
        <w:jc w:val="both"/>
        <w:rPr>
          <w:rFonts w:ascii="Century Gothic" w:eastAsia="Century Gothic" w:hAnsi="Century Gothic" w:cs="Century Gothic"/>
        </w:rPr>
      </w:pPr>
      <w:r>
        <w:rPr>
          <w:rFonts w:ascii="Century Gothic" w:eastAsia="Century Gothic" w:hAnsi="Century Gothic" w:cs="Century Gothic"/>
        </w:rPr>
        <w:t xml:space="preserve">Al constatarse la identidad de afectación, cobran vida obligatoria los criterios emanados del Tribunal Pleno que fundamentan la falta de proporcionalidad de estas medidas, al dejarse en claro en el Caso PANAUT que este tipo de regulaciones vulneran el Test de Proporcionalidad Ordinario y Estricto, especialmente en la "Tercera Grada" (Examen de necesidad) en relación con la </w:t>
      </w:r>
      <w:r>
        <w:rPr>
          <w:rFonts w:ascii="Century Gothic" w:eastAsia="Century Gothic" w:hAnsi="Century Gothic" w:cs="Century Gothic"/>
          <w:b/>
          <w:bCs/>
        </w:rPr>
        <w:t>privacidad, a la intimidad, la protección de datos personales y el principio a la autodeterminación informativa.</w:t>
      </w:r>
    </w:p>
    <w:p w14:paraId="14CB5D9A"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Para dar cumplimiento a lo dispuesto por el artículo 108 de la Ley de Amparo, manifiesto:</w:t>
      </w:r>
    </w:p>
    <w:p w14:paraId="58D29ECE" w14:textId="77777777" w:rsidR="00001DF2" w:rsidRPr="00A555A1" w:rsidRDefault="00001DF2">
      <w:pPr>
        <w:spacing w:line="360" w:lineRule="auto"/>
        <w:ind w:firstLine="1418"/>
        <w:jc w:val="both"/>
        <w:rPr>
          <w:rFonts w:ascii="Century Gothic" w:eastAsia="Century Gothic" w:hAnsi="Century Gothic" w:cs="Century Gothic"/>
        </w:rPr>
      </w:pPr>
    </w:p>
    <w:p w14:paraId="23233814"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b/>
          <w:bCs/>
        </w:rPr>
        <w:lastRenderedPageBreak/>
        <w:t>I. NOMBRE Y DOMICILIO DE LA PERSONA QUEJOSA.</w:t>
      </w:r>
      <w:r w:rsidRPr="00A555A1">
        <w:rPr>
          <w:rFonts w:ascii="Century Gothic" w:eastAsia="Century Gothic" w:hAnsi="Century Gothic" w:cs="Century Gothic"/>
        </w:rPr>
        <w:t xml:space="preserve"> Han quedado precisados en el proemio de este escrito.</w:t>
      </w:r>
    </w:p>
    <w:p w14:paraId="192B18AE" w14:textId="77777777" w:rsidR="00001DF2" w:rsidRPr="00A555A1" w:rsidRDefault="00001DF2">
      <w:pPr>
        <w:spacing w:line="360" w:lineRule="auto"/>
        <w:ind w:firstLine="1418"/>
        <w:jc w:val="both"/>
        <w:rPr>
          <w:rFonts w:ascii="Century Gothic" w:eastAsia="Century Gothic" w:hAnsi="Century Gothic" w:cs="Century Gothic"/>
        </w:rPr>
      </w:pPr>
    </w:p>
    <w:p w14:paraId="255E94A5"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b/>
          <w:bCs/>
        </w:rPr>
        <w:t xml:space="preserve">II. NOMBRE Y DOMICILIO DE LA(S) PERSONA(S) TERCERA(S) INTERESADO. </w:t>
      </w:r>
      <w:r w:rsidRPr="00A555A1">
        <w:rPr>
          <w:rFonts w:ascii="Century Gothic" w:eastAsia="Century Gothic" w:hAnsi="Century Gothic" w:cs="Century Gothic"/>
        </w:rPr>
        <w:t xml:space="preserve">Bajo protesta de decir verdad se desconoce la existencia de persona tercera interesada. </w:t>
      </w:r>
    </w:p>
    <w:p w14:paraId="387931B8" w14:textId="77777777" w:rsidR="00001DF2" w:rsidRPr="00A555A1" w:rsidRDefault="00001DF2">
      <w:pPr>
        <w:spacing w:line="360" w:lineRule="auto"/>
        <w:ind w:firstLine="1418"/>
        <w:jc w:val="both"/>
        <w:rPr>
          <w:rFonts w:ascii="Century Gothic" w:eastAsia="Century Gothic" w:hAnsi="Century Gothic" w:cs="Century Gothic"/>
        </w:rPr>
      </w:pPr>
    </w:p>
    <w:p w14:paraId="1C752707"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b/>
          <w:bCs/>
        </w:rPr>
        <w:t>III. AUTORIDAD(ES) RESPONSABLE(s).</w:t>
      </w:r>
      <w:r w:rsidRPr="00A555A1">
        <w:rPr>
          <w:rFonts w:ascii="Century Gothic" w:eastAsia="Century Gothic" w:hAnsi="Century Gothic" w:cs="Century Gothic"/>
        </w:rPr>
        <w:t xml:space="preserve"> </w:t>
      </w:r>
    </w:p>
    <w:p w14:paraId="55670072" w14:textId="77777777" w:rsidR="00001DF2" w:rsidRPr="00A555A1" w:rsidRDefault="00000000">
      <w:pPr>
        <w:pBdr>
          <w:top w:val="nil"/>
          <w:left w:val="nil"/>
          <w:bottom w:val="nil"/>
          <w:right w:val="nil"/>
          <w:between w:val="nil"/>
        </w:pBdr>
        <w:spacing w:after="0" w:line="360" w:lineRule="auto"/>
        <w:ind w:left="1418"/>
        <w:jc w:val="both"/>
        <w:rPr>
          <w:rFonts w:ascii="Century Gothic" w:eastAsia="Century Gothic" w:hAnsi="Century Gothic" w:cs="Century Gothic"/>
          <w:color w:val="000000"/>
        </w:rPr>
      </w:pPr>
      <w:r w:rsidRPr="00A555A1">
        <w:rPr>
          <w:rFonts w:ascii="Century Gothic" w:eastAsia="Century Gothic" w:hAnsi="Century Gothic" w:cs="Century Gothic"/>
          <w:b/>
          <w:bCs/>
          <w:color w:val="000000"/>
        </w:rPr>
        <w:t>Ordenadora(s):</w:t>
      </w:r>
    </w:p>
    <w:p w14:paraId="6B890B80" w14:textId="77777777" w:rsidR="00001DF2" w:rsidRPr="00A555A1" w:rsidRDefault="00000000">
      <w:pPr>
        <w:numPr>
          <w:ilvl w:val="0"/>
          <w:numId w:val="10"/>
        </w:numPr>
        <w:pBdr>
          <w:top w:val="nil"/>
          <w:left w:val="nil"/>
          <w:bottom w:val="nil"/>
          <w:right w:val="nil"/>
          <w:between w:val="nil"/>
        </w:pBdr>
        <w:tabs>
          <w:tab w:val="left" w:pos="1701"/>
        </w:tabs>
        <w:spacing w:after="0" w:line="360" w:lineRule="auto"/>
        <w:ind w:left="0" w:firstLine="1418"/>
        <w:jc w:val="both"/>
        <w:rPr>
          <w:rFonts w:ascii="Century Gothic" w:eastAsia="Century Gothic" w:hAnsi="Century Gothic" w:cs="Century Gothic"/>
          <w:color w:val="000000"/>
        </w:rPr>
      </w:pPr>
      <w:r w:rsidRPr="00A555A1">
        <w:rPr>
          <w:rFonts w:ascii="Century Gothic" w:eastAsia="Century Gothic" w:hAnsi="Century Gothic" w:cs="Century Gothic"/>
          <w:color w:val="000000"/>
        </w:rPr>
        <w:t xml:space="preserve">La </w:t>
      </w:r>
      <w:r w:rsidRPr="00A555A1">
        <w:rPr>
          <w:rFonts w:ascii="Century Gothic" w:eastAsia="Century Gothic" w:hAnsi="Century Gothic" w:cs="Century Gothic"/>
          <w:b/>
          <w:bCs/>
          <w:color w:val="000000"/>
        </w:rPr>
        <w:t>Cámara de Senadores del Congreso de la Unión</w:t>
      </w:r>
      <w:r w:rsidRPr="00A555A1">
        <w:rPr>
          <w:rFonts w:ascii="Century Gothic" w:eastAsia="Century Gothic" w:hAnsi="Century Gothic" w:cs="Century Gothic"/>
          <w:color w:val="000000"/>
        </w:rPr>
        <w:t xml:space="preserve">. Responsable de dictar, aprobar y expedir el Decreto por el que se expide la Ley en Materia de Telecomunicaciones y Radiodifusión, misma que contiene las normas cuya inconstitucionalidad se reclama. </w:t>
      </w:r>
    </w:p>
    <w:p w14:paraId="038B1189" w14:textId="77777777" w:rsidR="00001DF2" w:rsidRPr="00A555A1" w:rsidRDefault="00000000">
      <w:pPr>
        <w:numPr>
          <w:ilvl w:val="0"/>
          <w:numId w:val="10"/>
        </w:numPr>
        <w:pBdr>
          <w:top w:val="nil"/>
          <w:left w:val="nil"/>
          <w:bottom w:val="nil"/>
          <w:right w:val="nil"/>
          <w:between w:val="nil"/>
        </w:pBdr>
        <w:tabs>
          <w:tab w:val="left" w:pos="1701"/>
        </w:tabs>
        <w:spacing w:after="0" w:line="360" w:lineRule="auto"/>
        <w:ind w:left="0" w:firstLine="1418"/>
        <w:jc w:val="both"/>
        <w:rPr>
          <w:rFonts w:ascii="Century Gothic" w:eastAsia="Century Gothic" w:hAnsi="Century Gothic" w:cs="Century Gothic"/>
          <w:color w:val="000000"/>
        </w:rPr>
      </w:pPr>
      <w:r w:rsidRPr="00A555A1">
        <w:rPr>
          <w:rFonts w:ascii="Century Gothic" w:eastAsia="Century Gothic" w:hAnsi="Century Gothic" w:cs="Century Gothic"/>
          <w:color w:val="000000"/>
        </w:rPr>
        <w:t xml:space="preserve">La </w:t>
      </w:r>
      <w:r w:rsidRPr="00A555A1">
        <w:rPr>
          <w:rFonts w:ascii="Century Gothic" w:eastAsia="Century Gothic" w:hAnsi="Century Gothic" w:cs="Century Gothic"/>
          <w:b/>
          <w:bCs/>
          <w:color w:val="000000"/>
        </w:rPr>
        <w:t xml:space="preserve">Cámara de Diputados del Congreso de la Unión. </w:t>
      </w:r>
      <w:r w:rsidRPr="00A555A1">
        <w:rPr>
          <w:rFonts w:ascii="Century Gothic" w:eastAsia="Century Gothic" w:hAnsi="Century Gothic" w:cs="Century Gothic"/>
          <w:color w:val="000000"/>
        </w:rPr>
        <w:t>Responsable de dictar, aprobar y expedir el Decreto por el que se expide la Ley en Materia de Telecomunicaciones y Radiodifusión, misma que contiene las normas cuya inconstitucionalidad se reclama.</w:t>
      </w:r>
    </w:p>
    <w:p w14:paraId="092C54C5" w14:textId="77777777" w:rsidR="00001DF2" w:rsidRPr="00A555A1" w:rsidRDefault="00000000">
      <w:pPr>
        <w:numPr>
          <w:ilvl w:val="0"/>
          <w:numId w:val="10"/>
        </w:numPr>
        <w:pBdr>
          <w:top w:val="nil"/>
          <w:left w:val="nil"/>
          <w:bottom w:val="nil"/>
          <w:right w:val="nil"/>
          <w:between w:val="nil"/>
        </w:pBdr>
        <w:tabs>
          <w:tab w:val="left" w:pos="1701"/>
        </w:tabs>
        <w:spacing w:after="0" w:line="360" w:lineRule="auto"/>
        <w:ind w:left="0" w:firstLine="1418"/>
        <w:jc w:val="both"/>
        <w:rPr>
          <w:rFonts w:ascii="Century Gothic" w:eastAsia="Century Gothic" w:hAnsi="Century Gothic" w:cs="Century Gothic"/>
          <w:color w:val="000000"/>
        </w:rPr>
      </w:pPr>
      <w:r w:rsidRPr="00A555A1">
        <w:rPr>
          <w:rFonts w:ascii="Century Gothic" w:eastAsia="Century Gothic" w:hAnsi="Century Gothic" w:cs="Century Gothic"/>
          <w:color w:val="000000"/>
        </w:rPr>
        <w:t>La</w:t>
      </w:r>
      <w:r w:rsidRPr="00A555A1">
        <w:rPr>
          <w:rFonts w:ascii="Century Gothic" w:eastAsia="Century Gothic" w:hAnsi="Century Gothic" w:cs="Century Gothic"/>
          <w:b/>
          <w:bCs/>
          <w:color w:val="000000"/>
        </w:rPr>
        <w:t xml:space="preserve"> Presidente Constitucional de los Estados Unidos Mexicanos. </w:t>
      </w:r>
      <w:r w:rsidRPr="00A555A1">
        <w:rPr>
          <w:rFonts w:ascii="Century Gothic" w:eastAsia="Century Gothic" w:hAnsi="Century Gothic" w:cs="Century Gothic"/>
          <w:color w:val="000000"/>
        </w:rPr>
        <w:t>Responsable de la promulgación del Decreto por el que</w:t>
      </w:r>
      <w:r w:rsidRPr="00A555A1">
        <w:rPr>
          <w:rFonts w:ascii="Century Gothic" w:eastAsia="Century Gothic" w:hAnsi="Century Gothic" w:cs="Century Gothic"/>
          <w:b/>
          <w:bCs/>
          <w:color w:val="000000"/>
        </w:rPr>
        <w:t xml:space="preserve"> </w:t>
      </w:r>
      <w:r w:rsidRPr="00A555A1">
        <w:rPr>
          <w:rFonts w:ascii="Century Gothic" w:eastAsia="Century Gothic" w:hAnsi="Century Gothic" w:cs="Century Gothic"/>
          <w:color w:val="000000"/>
        </w:rPr>
        <w:t>se expide la Ley en Materia de Telecomunicaciones y Radiodifusión, misma que contiene las normas cuya inconstitucionalidad se reclama.</w:t>
      </w:r>
    </w:p>
    <w:p w14:paraId="04BCAC30" w14:textId="1E939810" w:rsidR="00001DF2" w:rsidRPr="00A555A1" w:rsidRDefault="00000000">
      <w:pPr>
        <w:numPr>
          <w:ilvl w:val="0"/>
          <w:numId w:val="10"/>
        </w:numPr>
        <w:pBdr>
          <w:top w:val="nil"/>
          <w:left w:val="nil"/>
          <w:bottom w:val="nil"/>
          <w:right w:val="nil"/>
          <w:between w:val="nil"/>
        </w:pBdr>
        <w:tabs>
          <w:tab w:val="left" w:pos="1701"/>
        </w:tabs>
        <w:spacing w:after="0" w:line="360" w:lineRule="auto"/>
        <w:ind w:left="0" w:firstLine="1418"/>
        <w:jc w:val="both"/>
        <w:rPr>
          <w:rFonts w:ascii="Century Gothic" w:eastAsia="Century Gothic" w:hAnsi="Century Gothic" w:cs="Century Gothic"/>
          <w:color w:val="000000"/>
        </w:rPr>
      </w:pPr>
      <w:r w:rsidRPr="00A555A1">
        <w:rPr>
          <w:rFonts w:ascii="Century Gothic" w:eastAsia="Century Gothic" w:hAnsi="Century Gothic" w:cs="Century Gothic"/>
          <w:b/>
          <w:bCs/>
          <w:color w:val="000000"/>
        </w:rPr>
        <w:t xml:space="preserve">Pleno de la Comisión Reguladora de Telecomunicaciones (en adelante, CRT). </w:t>
      </w:r>
      <w:r w:rsidRPr="00A555A1">
        <w:rPr>
          <w:rFonts w:ascii="Century Gothic" w:eastAsia="Century Gothic" w:hAnsi="Century Gothic" w:cs="Century Gothic"/>
          <w:color w:val="000000"/>
        </w:rPr>
        <w:t>Responsable de</w:t>
      </w:r>
      <w:r w:rsidRPr="00A555A1">
        <w:rPr>
          <w:rFonts w:ascii="Century Gothic" w:eastAsia="Century Gothic" w:hAnsi="Century Gothic" w:cs="Century Gothic"/>
          <w:b/>
          <w:bCs/>
          <w:color w:val="000000"/>
        </w:rPr>
        <w:t xml:space="preserve"> </w:t>
      </w:r>
      <w:r w:rsidRPr="00A555A1">
        <w:rPr>
          <w:rFonts w:ascii="Century Gothic" w:eastAsia="Century Gothic" w:hAnsi="Century Gothic" w:cs="Century Gothic"/>
          <w:color w:val="000000"/>
        </w:rPr>
        <w:t xml:space="preserve">la emisión y aprobación del "Acuerdo mediante el cual el Pleno de la Comisión Reguladora de Telecomunicaciones aprueba y emite los Lineamientos para la Identificación de Líneas Telefónicas Móviles", publicado el </w:t>
      </w:r>
      <w:r w:rsidR="002178C7">
        <w:rPr>
          <w:rFonts w:ascii="Century Gothic" w:eastAsia="Century Gothic" w:hAnsi="Century Gothic" w:cs="Century Gothic"/>
          <w:color w:val="000000"/>
        </w:rPr>
        <w:t>9</w:t>
      </w:r>
      <w:r w:rsidRPr="00A555A1">
        <w:rPr>
          <w:rFonts w:ascii="Century Gothic" w:eastAsia="Century Gothic" w:hAnsi="Century Gothic" w:cs="Century Gothic"/>
          <w:color w:val="000000"/>
        </w:rPr>
        <w:t xml:space="preserve"> de diciembre de 2025</w:t>
      </w:r>
      <w:r w:rsidR="00EB6716" w:rsidRPr="00A555A1">
        <w:rPr>
          <w:rFonts w:ascii="Century Gothic" w:eastAsia="Century Gothic" w:hAnsi="Century Gothic" w:cs="Century Gothic"/>
          <w:color w:val="000000"/>
        </w:rPr>
        <w:t>, así como de la emisión y aprobación del “Acuerdo mediante el cual el Pleno de la CRT aprueba y emite la modificación a los Lineamientos</w:t>
      </w:r>
      <w:r w:rsidR="00EB6F5C" w:rsidRPr="00A555A1">
        <w:rPr>
          <w:rFonts w:ascii="Century Gothic" w:eastAsia="Century Gothic" w:hAnsi="Century Gothic" w:cs="Century Gothic"/>
          <w:color w:val="000000"/>
        </w:rPr>
        <w:t>”</w:t>
      </w:r>
      <w:r w:rsidR="00EB6716" w:rsidRPr="00A555A1">
        <w:rPr>
          <w:rFonts w:ascii="Century Gothic" w:eastAsia="Century Gothic" w:hAnsi="Century Gothic" w:cs="Century Gothic"/>
          <w:color w:val="000000"/>
        </w:rPr>
        <w:t>, publicado el 30 de junio de 2026</w:t>
      </w:r>
      <w:r w:rsidR="002178C7">
        <w:rPr>
          <w:rFonts w:ascii="Century Gothic" w:eastAsia="Century Gothic" w:hAnsi="Century Gothic" w:cs="Century Gothic"/>
          <w:color w:val="000000"/>
        </w:rPr>
        <w:t>, ambos en la edición vespertina del DOF.</w:t>
      </w:r>
    </w:p>
    <w:p w14:paraId="55265DC4" w14:textId="77777777" w:rsidR="00001DF2" w:rsidRPr="00A555A1" w:rsidRDefault="00000000">
      <w:pPr>
        <w:pBdr>
          <w:top w:val="nil"/>
          <w:left w:val="nil"/>
          <w:bottom w:val="nil"/>
          <w:right w:val="nil"/>
          <w:between w:val="nil"/>
        </w:pBdr>
        <w:spacing w:after="0" w:line="360" w:lineRule="auto"/>
        <w:ind w:left="1418"/>
        <w:jc w:val="both"/>
        <w:rPr>
          <w:rFonts w:ascii="Century Gothic" w:eastAsia="Century Gothic" w:hAnsi="Century Gothic" w:cs="Century Gothic"/>
          <w:b/>
          <w:bCs/>
          <w:color w:val="000000"/>
        </w:rPr>
      </w:pPr>
      <w:r w:rsidRPr="00A555A1">
        <w:rPr>
          <w:rFonts w:ascii="Century Gothic" w:eastAsia="Century Gothic" w:hAnsi="Century Gothic" w:cs="Century Gothic"/>
          <w:b/>
          <w:bCs/>
          <w:color w:val="000000"/>
        </w:rPr>
        <w:t>Ejecutora(s):</w:t>
      </w:r>
    </w:p>
    <w:p w14:paraId="4F9C8502" w14:textId="77777777" w:rsidR="00ED45CE" w:rsidRPr="00ED45CE" w:rsidRDefault="00F03788" w:rsidP="00ED45CE">
      <w:pPr>
        <w:numPr>
          <w:ilvl w:val="0"/>
          <w:numId w:val="10"/>
        </w:numPr>
        <w:pBdr>
          <w:top w:val="nil"/>
          <w:left w:val="nil"/>
          <w:bottom w:val="nil"/>
          <w:right w:val="nil"/>
          <w:between w:val="nil"/>
        </w:pBdr>
        <w:spacing w:after="0" w:line="360" w:lineRule="auto"/>
        <w:ind w:left="0" w:firstLine="1418"/>
        <w:jc w:val="both"/>
        <w:rPr>
          <w:rFonts w:ascii="Century Gothic" w:eastAsia="Century Gothic" w:hAnsi="Century Gothic" w:cs="Century Gothic"/>
          <w:color w:val="000000"/>
        </w:rPr>
      </w:pPr>
      <w:r w:rsidRPr="00E309B9">
        <w:rPr>
          <w:rFonts w:ascii="Century Gothic" w:eastAsia="Century Gothic" w:hAnsi="Century Gothic" w:cs="Century Gothic"/>
          <w:color w:val="000000"/>
        </w:rPr>
        <w:t>{{INICIA_ATT}}</w:t>
      </w:r>
      <w:r>
        <w:rPr>
          <w:rFonts w:ascii="Century Gothic" w:eastAsia="Century Gothic" w:hAnsi="Century Gothic" w:cs="Century Gothic"/>
          <w:color w:val="000000"/>
        </w:rPr>
        <w:t xml:space="preserve"> </w:t>
      </w:r>
      <w:r w:rsidRPr="00A555A1">
        <w:rPr>
          <w:rFonts w:ascii="Century Gothic" w:eastAsia="Century Gothic" w:hAnsi="Century Gothic" w:cs="Century Gothic"/>
          <w:color w:val="000000"/>
        </w:rPr>
        <w:t xml:space="preserve">Tienen ese carácter la persona moral concesionaria y comercializadora que ejecutaron el acto material de suspensión actuando como auxiliares de la administración pública y como autoridad para efectos del amparo, siendo en este caso </w:t>
      </w:r>
      <w:r w:rsidRPr="00A555A1">
        <w:rPr>
          <w:rFonts w:ascii="Century Gothic" w:eastAsia="Century Gothic" w:hAnsi="Century Gothic" w:cs="Century Gothic"/>
          <w:b/>
          <w:bCs/>
          <w:color w:val="000000"/>
        </w:rPr>
        <w:t>AT&amp;T COMUNICACIONES DIGITALES, S. DE R.L. DE C.V.</w:t>
      </w:r>
      <w:r w:rsidR="00E157B2" w:rsidRPr="00A555A1">
        <w:rPr>
          <w:rFonts w:ascii="Century Gothic" w:eastAsia="Century Gothic" w:hAnsi="Century Gothic" w:cs="Century Gothic"/>
          <w:b/>
          <w:bCs/>
          <w:color w:val="000000"/>
        </w:rPr>
        <w:t xml:space="preserve"> </w:t>
      </w:r>
      <w:r w:rsidR="00DE5D62" w:rsidRPr="00A555A1">
        <w:rPr>
          <w:rFonts w:ascii="Century Gothic" w:eastAsia="Century Gothic" w:hAnsi="Century Gothic" w:cs="Century Gothic"/>
          <w:color w:val="000000"/>
        </w:rPr>
        <w:t>(AT&amp;T)</w:t>
      </w:r>
      <w:r w:rsidRPr="00A555A1">
        <w:rPr>
          <w:rFonts w:ascii="Century Gothic" w:eastAsia="Century Gothic" w:hAnsi="Century Gothic" w:cs="Century Gothic"/>
          <w:color w:val="000000"/>
        </w:rPr>
        <w:t xml:space="preserve">, con domicilio ubicado </w:t>
      </w:r>
      <w:r w:rsidRPr="00A555A1">
        <w:rPr>
          <w:rFonts w:ascii="Century Gothic" w:eastAsia="Century Gothic" w:hAnsi="Century Gothic" w:cs="Century Gothic"/>
          <w:color w:val="000000"/>
        </w:rPr>
        <w:lastRenderedPageBreak/>
        <w:t xml:space="preserve">en Río Lerma no. 232, Torre Diana, Piso 20, Colonia Cuauhtémoc, Alcaldía Cuauhtémoc, </w:t>
      </w:r>
      <w:r w:rsidR="00E157B2" w:rsidRPr="00A555A1">
        <w:rPr>
          <w:rFonts w:ascii="Century Gothic" w:eastAsia="Century Gothic" w:hAnsi="Century Gothic" w:cs="Century Gothic"/>
          <w:color w:val="000000"/>
        </w:rPr>
        <w:t xml:space="preserve">C.P. 06500, </w:t>
      </w:r>
      <w:r w:rsidRPr="00A555A1">
        <w:rPr>
          <w:rFonts w:ascii="Century Gothic" w:eastAsia="Century Gothic" w:hAnsi="Century Gothic" w:cs="Century Gothic"/>
          <w:color w:val="000000"/>
        </w:rPr>
        <w:t xml:space="preserve">Ciudad de México, </w:t>
      </w:r>
      <w:r w:rsidR="00E157B2" w:rsidRPr="00A555A1">
        <w:rPr>
          <w:rFonts w:ascii="Century Gothic" w:eastAsia="Century Gothic" w:hAnsi="Century Gothic" w:cs="Century Gothic"/>
          <w:color w:val="000000"/>
        </w:rPr>
        <w:t>México</w:t>
      </w:r>
      <w:r w:rsidRPr="00A555A1">
        <w:rPr>
          <w:rFonts w:ascii="Century Gothic" w:eastAsia="Century Gothic" w:hAnsi="Century Gothic" w:cs="Century Gothic"/>
          <w:color w:val="000000"/>
        </w:rPr>
        <w:t>.</w:t>
      </w:r>
      <w:r>
        <w:rPr>
          <w:rFonts w:ascii="Century Gothic" w:eastAsia="Century Gothic" w:hAnsi="Century Gothic" w:cs="Century Gothic"/>
          <w:color w:val="000000"/>
        </w:rPr>
        <w:t xml:space="preserve"> </w:t>
      </w:r>
      <w:r w:rsidR="00ED45CE" w:rsidRPr="00E309B9">
        <w:rPr>
          <w:rFonts w:ascii="Century Gothic" w:eastAsia="Century Gothic" w:hAnsi="Century Gothic" w:cs="Century Gothic"/>
          <w:color w:val="000000"/>
        </w:rPr>
        <w:t>{{TERMINA_ATT}}</w:t>
      </w:r>
    </w:p>
    <w:p w14:paraId="3CFCE262" w14:textId="564EBAB2" w:rsidR="00F03788" w:rsidRPr="00ED45CE" w:rsidRDefault="00F03788" w:rsidP="00F03788">
      <w:pPr>
        <w:numPr>
          <w:ilvl w:val="0"/>
          <w:numId w:val="10"/>
        </w:numPr>
        <w:pBdr>
          <w:top w:val="nil"/>
          <w:left w:val="nil"/>
          <w:bottom w:val="nil"/>
          <w:right w:val="nil"/>
          <w:between w:val="nil"/>
        </w:pBdr>
        <w:spacing w:after="0" w:line="360" w:lineRule="auto"/>
        <w:ind w:left="0" w:firstLine="1418"/>
        <w:jc w:val="both"/>
        <w:rPr>
          <w:rFonts w:ascii="Century Gothic" w:eastAsia="Century Gothic" w:hAnsi="Century Gothic" w:cs="Century Gothic"/>
          <w:color w:val="000000"/>
        </w:rPr>
      </w:pPr>
      <w:r w:rsidRPr="00E309B9">
        <w:rPr>
          <w:rFonts w:ascii="Century Gothic" w:eastAsia="Century Gothic" w:hAnsi="Century Gothic" w:cs="Century Gothic"/>
          <w:color w:val="000000"/>
        </w:rPr>
        <w:t>{{INICIA_TELCEL}}</w:t>
      </w:r>
      <w:r w:rsidRPr="00ED45CE">
        <w:rPr>
          <w:rFonts w:ascii="Century Gothic" w:eastAsia="Century Gothic" w:hAnsi="Century Gothic" w:cs="Century Gothic"/>
          <w:color w:val="000000"/>
        </w:rPr>
        <w:t xml:space="preserve"> </w:t>
      </w:r>
      <w:r w:rsidR="00C423A9" w:rsidRPr="00ED45CE">
        <w:rPr>
          <w:rFonts w:ascii="Century Gothic" w:eastAsia="Century Gothic" w:hAnsi="Century Gothic" w:cs="Century Gothic"/>
          <w:color w:val="000000"/>
        </w:rPr>
        <w:t xml:space="preserve">Tienen ese carácter la persona moral concesionaria y comercializadora que ejecutaron el acto material de suspensión actuando como auxiliares de la administración pública y como autoridad para efectos del amparo, siendo en este caso </w:t>
      </w:r>
      <w:r w:rsidR="00E157B2" w:rsidRPr="00ED45CE">
        <w:rPr>
          <w:rFonts w:ascii="Century Gothic" w:eastAsia="Century Gothic" w:hAnsi="Century Gothic" w:cs="Century Gothic"/>
          <w:b/>
          <w:bCs/>
          <w:color w:val="000000"/>
        </w:rPr>
        <w:t>RADIOMÓVIL DIPSA, S.A. DE C.V.</w:t>
      </w:r>
      <w:r w:rsidR="00DE5D62" w:rsidRPr="00ED45CE">
        <w:rPr>
          <w:rFonts w:ascii="Century Gothic" w:eastAsia="Century Gothic" w:hAnsi="Century Gothic" w:cs="Century Gothic"/>
          <w:b/>
          <w:bCs/>
          <w:color w:val="000000"/>
        </w:rPr>
        <w:t xml:space="preserve"> </w:t>
      </w:r>
      <w:r w:rsidR="00DE5D62" w:rsidRPr="00ED45CE">
        <w:rPr>
          <w:rFonts w:ascii="Century Gothic" w:eastAsia="Century Gothic" w:hAnsi="Century Gothic" w:cs="Century Gothic"/>
          <w:color w:val="000000"/>
        </w:rPr>
        <w:t>(Telcel)</w:t>
      </w:r>
      <w:r w:rsidR="00C423A9" w:rsidRPr="00ED45CE">
        <w:rPr>
          <w:rFonts w:ascii="Century Gothic" w:eastAsia="Century Gothic" w:hAnsi="Century Gothic" w:cs="Century Gothic"/>
          <w:color w:val="000000"/>
        </w:rPr>
        <w:t xml:space="preserve">, con domicilio ubicado </w:t>
      </w:r>
      <w:r w:rsidR="00E157B2" w:rsidRPr="00ED45CE">
        <w:rPr>
          <w:rFonts w:ascii="Century Gothic" w:eastAsia="Century Gothic" w:hAnsi="Century Gothic" w:cs="Century Gothic"/>
          <w:color w:val="000000"/>
        </w:rPr>
        <w:t>Lago Zúrich 245, Plaza Carso, Edificio Telcel, Col. Ampliación Granada, Alcaldía Miguel Hidalgo, C.P. 11529, Ciudad de México, México</w:t>
      </w:r>
      <w:r w:rsidR="00C423A9" w:rsidRPr="00ED45CE">
        <w:rPr>
          <w:rFonts w:ascii="Century Gothic" w:eastAsia="Century Gothic" w:hAnsi="Century Gothic" w:cs="Century Gothic"/>
          <w:color w:val="000000"/>
        </w:rPr>
        <w:t>.</w:t>
      </w:r>
      <w:r w:rsidRPr="00ED45CE">
        <w:rPr>
          <w:rFonts w:ascii="Century Gothic" w:eastAsia="Century Gothic" w:hAnsi="Century Gothic" w:cs="Century Gothic"/>
          <w:color w:val="000000"/>
        </w:rPr>
        <w:t xml:space="preserve"> </w:t>
      </w:r>
      <w:r w:rsidR="00ED45CE" w:rsidRPr="00E309B9">
        <w:rPr>
          <w:rFonts w:ascii="Century Gothic" w:eastAsia="Century Gothic" w:hAnsi="Century Gothic" w:cs="Century Gothic"/>
          <w:color w:val="000000"/>
        </w:rPr>
        <w:t>{{TERMINA_TELCEL}}</w:t>
      </w:r>
    </w:p>
    <w:p w14:paraId="4D2A77CF" w14:textId="77777777" w:rsidR="00ED45CE" w:rsidRPr="00ED45CE" w:rsidRDefault="00F03788" w:rsidP="00ED45CE">
      <w:pPr>
        <w:numPr>
          <w:ilvl w:val="0"/>
          <w:numId w:val="10"/>
        </w:numPr>
        <w:pBdr>
          <w:top w:val="nil"/>
          <w:left w:val="nil"/>
          <w:bottom w:val="nil"/>
          <w:right w:val="nil"/>
          <w:between w:val="nil"/>
        </w:pBdr>
        <w:spacing w:after="0" w:line="360" w:lineRule="auto"/>
        <w:ind w:left="0" w:firstLine="1418"/>
        <w:jc w:val="both"/>
        <w:rPr>
          <w:rFonts w:ascii="Century Gothic" w:eastAsia="Century Gothic" w:hAnsi="Century Gothic" w:cs="Century Gothic"/>
          <w:color w:val="000000"/>
        </w:rPr>
      </w:pPr>
      <w:r w:rsidRPr="00E309B9">
        <w:rPr>
          <w:rFonts w:ascii="Century Gothic" w:eastAsia="Century Gothic" w:hAnsi="Century Gothic" w:cs="Century Gothic"/>
          <w:color w:val="000000"/>
        </w:rPr>
        <w:t>{{INICIA_MOVISTAR}}</w:t>
      </w:r>
      <w:r>
        <w:rPr>
          <w:rFonts w:ascii="Century Gothic" w:eastAsia="Century Gothic" w:hAnsi="Century Gothic" w:cs="Century Gothic"/>
          <w:color w:val="000000"/>
        </w:rPr>
        <w:t xml:space="preserve"> </w:t>
      </w:r>
      <w:r w:rsidR="00C423A9" w:rsidRPr="00A555A1">
        <w:rPr>
          <w:rFonts w:ascii="Century Gothic" w:eastAsia="Century Gothic" w:hAnsi="Century Gothic" w:cs="Century Gothic"/>
          <w:color w:val="000000"/>
        </w:rPr>
        <w:t xml:space="preserve">Tienen ese carácter la persona moral concesionaria y comercializadora que ejecutaron el acto material de suspensión actuando como auxiliares de la administración pública y como autoridad para efectos del amparo, siendo en este caso </w:t>
      </w:r>
      <w:r w:rsidR="00DE5D62" w:rsidRPr="00A555A1">
        <w:rPr>
          <w:rFonts w:ascii="Century Gothic" w:eastAsia="Century Gothic" w:hAnsi="Century Gothic" w:cs="Century Gothic"/>
          <w:b/>
          <w:bCs/>
          <w:color w:val="000000"/>
        </w:rPr>
        <w:t xml:space="preserve">Pegaso PCS, S.A. de C.V. </w:t>
      </w:r>
      <w:r w:rsidR="00DE5D62" w:rsidRPr="00A555A1">
        <w:rPr>
          <w:rFonts w:ascii="Century Gothic" w:eastAsia="Century Gothic" w:hAnsi="Century Gothic" w:cs="Century Gothic"/>
          <w:color w:val="000000"/>
        </w:rPr>
        <w:t>(Movistar)</w:t>
      </w:r>
      <w:r w:rsidR="00C423A9" w:rsidRPr="00A555A1">
        <w:rPr>
          <w:rFonts w:ascii="Century Gothic" w:eastAsia="Century Gothic" w:hAnsi="Century Gothic" w:cs="Century Gothic"/>
          <w:color w:val="000000"/>
        </w:rPr>
        <w:t xml:space="preserve">, con domicilio ubicado en </w:t>
      </w:r>
      <w:r w:rsidR="00DE5D62" w:rsidRPr="00A555A1">
        <w:rPr>
          <w:rFonts w:ascii="Century Gothic" w:eastAsia="Century Gothic" w:hAnsi="Century Gothic" w:cs="Century Gothic"/>
          <w:color w:val="000000"/>
        </w:rPr>
        <w:t>Prolongación Paseo de la Reforma No. 1200, Colonia Cruz Manca, Alcaldía Cuajimalpa, C.P. 05349, Ciudad de México, México</w:t>
      </w:r>
      <w:r w:rsidR="00C423A9" w:rsidRPr="00A555A1">
        <w:rPr>
          <w:rFonts w:ascii="Century Gothic" w:eastAsia="Century Gothic" w:hAnsi="Century Gothic" w:cs="Century Gothic"/>
          <w:color w:val="000000"/>
        </w:rPr>
        <w:t>.</w:t>
      </w:r>
      <w:r>
        <w:rPr>
          <w:rFonts w:ascii="Century Gothic" w:eastAsia="Century Gothic" w:hAnsi="Century Gothic" w:cs="Century Gothic"/>
          <w:color w:val="000000"/>
        </w:rPr>
        <w:t xml:space="preserve"> </w:t>
      </w:r>
      <w:r w:rsidR="00ED45CE" w:rsidRPr="00E309B9">
        <w:rPr>
          <w:rFonts w:ascii="Century Gothic" w:eastAsia="Century Gothic" w:hAnsi="Century Gothic" w:cs="Century Gothic"/>
          <w:color w:val="000000"/>
        </w:rPr>
        <w:t>{{TERMINA_MOVISTAR}}</w:t>
      </w:r>
    </w:p>
    <w:p w14:paraId="2ABD5120" w14:textId="77777777" w:rsidR="00ED45CE" w:rsidRPr="00ED45CE" w:rsidRDefault="00F03788" w:rsidP="00ED45CE">
      <w:pPr>
        <w:numPr>
          <w:ilvl w:val="0"/>
          <w:numId w:val="10"/>
        </w:numPr>
        <w:pBdr>
          <w:top w:val="nil"/>
          <w:left w:val="nil"/>
          <w:bottom w:val="nil"/>
          <w:right w:val="nil"/>
          <w:between w:val="nil"/>
        </w:pBdr>
        <w:spacing w:after="0" w:line="360" w:lineRule="auto"/>
        <w:ind w:left="0" w:firstLine="1418"/>
        <w:jc w:val="both"/>
        <w:rPr>
          <w:rFonts w:ascii="Century Gothic" w:eastAsia="Century Gothic" w:hAnsi="Century Gothic" w:cs="Century Gothic"/>
          <w:color w:val="000000"/>
        </w:rPr>
      </w:pPr>
      <w:r w:rsidRPr="00E309B9">
        <w:rPr>
          <w:rFonts w:ascii="Century Gothic" w:eastAsia="Century Gothic" w:hAnsi="Century Gothic" w:cs="Century Gothic"/>
          <w:color w:val="000000"/>
        </w:rPr>
        <w:t>{{INICIA_BAIT}}</w:t>
      </w:r>
      <w:r>
        <w:rPr>
          <w:rFonts w:ascii="Century Gothic" w:eastAsia="Century Gothic" w:hAnsi="Century Gothic" w:cs="Century Gothic"/>
          <w:color w:val="000000"/>
        </w:rPr>
        <w:t xml:space="preserve"> </w:t>
      </w:r>
      <w:r w:rsidR="00C423A9" w:rsidRPr="00A555A1">
        <w:rPr>
          <w:rFonts w:ascii="Century Gothic" w:eastAsia="Century Gothic" w:hAnsi="Century Gothic" w:cs="Century Gothic"/>
          <w:color w:val="000000"/>
        </w:rPr>
        <w:t xml:space="preserve">Tienen ese carácter la persona moral concesionaria y comercializadora que ejecutaron el acto material de suspensión actuando como auxiliares de la administración pública y como autoridad para efectos del amparo, siendo en este caso </w:t>
      </w:r>
      <w:r w:rsidR="00DE5D62" w:rsidRPr="00A555A1">
        <w:rPr>
          <w:rFonts w:ascii="Century Gothic" w:eastAsia="Century Gothic" w:hAnsi="Century Gothic" w:cs="Century Gothic"/>
          <w:b/>
          <w:bCs/>
          <w:color w:val="000000"/>
        </w:rPr>
        <w:t xml:space="preserve">WAL-MART INNOVACIÓN S. DE R.L. DE C.V. </w:t>
      </w:r>
      <w:r w:rsidR="00DE5D62" w:rsidRPr="00A555A1">
        <w:rPr>
          <w:rFonts w:ascii="Century Gothic" w:eastAsia="Century Gothic" w:hAnsi="Century Gothic" w:cs="Century Gothic"/>
          <w:color w:val="000000"/>
        </w:rPr>
        <w:t>(comercializadora autorizada bajo la marca Bait)</w:t>
      </w:r>
      <w:r w:rsidR="00C423A9" w:rsidRPr="00A555A1">
        <w:rPr>
          <w:rFonts w:ascii="Century Gothic" w:eastAsia="Century Gothic" w:hAnsi="Century Gothic" w:cs="Century Gothic"/>
          <w:color w:val="000000"/>
        </w:rPr>
        <w:t xml:space="preserve">, con domicilio ubicado en </w:t>
      </w:r>
      <w:r w:rsidR="00DE5D62" w:rsidRPr="00A555A1">
        <w:rPr>
          <w:rFonts w:ascii="Century Gothic" w:eastAsia="Century Gothic" w:hAnsi="Century Gothic" w:cs="Century Gothic"/>
          <w:color w:val="000000"/>
        </w:rPr>
        <w:t>Nextengo 78, Santa Cruz Acayucan, Azcapotzalco, C.P. 02770, Ciudad de México</w:t>
      </w:r>
      <w:r w:rsidR="00C423A9" w:rsidRPr="00A555A1">
        <w:rPr>
          <w:rFonts w:ascii="Century Gothic" w:eastAsia="Century Gothic" w:hAnsi="Century Gothic" w:cs="Century Gothic"/>
          <w:color w:val="000000"/>
        </w:rPr>
        <w:t>, México.</w:t>
      </w:r>
      <w:r>
        <w:rPr>
          <w:rFonts w:ascii="Century Gothic" w:eastAsia="Century Gothic" w:hAnsi="Century Gothic" w:cs="Century Gothic"/>
          <w:color w:val="000000"/>
        </w:rPr>
        <w:t xml:space="preserve"> </w:t>
      </w:r>
      <w:r w:rsidR="00ED45CE" w:rsidRPr="00E309B9">
        <w:rPr>
          <w:rFonts w:ascii="Century Gothic" w:eastAsia="Century Gothic" w:hAnsi="Century Gothic" w:cs="Century Gothic"/>
          <w:color w:val="000000"/>
        </w:rPr>
        <w:t>{{TERMINA_BAIT}}</w:t>
      </w:r>
    </w:p>
    <w:p w14:paraId="4F8C0731" w14:textId="77777777" w:rsidR="00001DF2" w:rsidRPr="00A555A1" w:rsidRDefault="00000000">
      <w:pPr>
        <w:pBdr>
          <w:top w:val="nil"/>
          <w:left w:val="nil"/>
          <w:bottom w:val="nil"/>
          <w:right w:val="nil"/>
          <w:between w:val="nil"/>
        </w:pBdr>
        <w:spacing w:after="0" w:line="360" w:lineRule="auto"/>
        <w:ind w:firstLine="1418"/>
        <w:jc w:val="both"/>
        <w:rPr>
          <w:rFonts w:ascii="Century Gothic" w:eastAsia="Century Gothic" w:hAnsi="Century Gothic" w:cs="Century Gothic"/>
          <w:color w:val="000000"/>
        </w:rPr>
      </w:pPr>
      <w:r w:rsidRPr="00A555A1">
        <w:rPr>
          <w:rFonts w:ascii="Century Gothic" w:eastAsia="Century Gothic" w:hAnsi="Century Gothic" w:cs="Century Gothic"/>
          <w:color w:val="000000"/>
        </w:rPr>
        <w:t>Lo anterior de conformidad con lo dispuesto por los artículos 5, fracción II y 9 de la LAmp, pues aun cuando se trata de una persona moral privada, la misma se transforma en auxiliar del Poder Público, al ejecutar materialmente la suspensión de la línea telefónica a nombre de la persona quejosa, tal y como lo acredito con las pruebas documentales que se ofrecen, por medio de la cual se actualiza el carácter de autoridad ejecutora en el presente juicio de garantías.</w:t>
      </w:r>
    </w:p>
    <w:p w14:paraId="49FCC7A7" w14:textId="77777777" w:rsidR="00001DF2" w:rsidRPr="00A555A1" w:rsidRDefault="00000000">
      <w:pPr>
        <w:pBdr>
          <w:top w:val="nil"/>
          <w:left w:val="nil"/>
          <w:bottom w:val="nil"/>
          <w:right w:val="nil"/>
          <w:between w:val="nil"/>
        </w:pBdr>
        <w:spacing w:line="360" w:lineRule="auto"/>
        <w:ind w:firstLine="1418"/>
        <w:jc w:val="both"/>
        <w:rPr>
          <w:rFonts w:ascii="Century Gothic" w:eastAsia="Century Gothic" w:hAnsi="Century Gothic" w:cs="Century Gothic"/>
          <w:color w:val="000000"/>
        </w:rPr>
      </w:pPr>
      <w:r w:rsidRPr="00A555A1">
        <w:rPr>
          <w:rFonts w:ascii="Century Gothic" w:eastAsia="Century Gothic" w:hAnsi="Century Gothic" w:cs="Century Gothic"/>
          <w:color w:val="000000"/>
        </w:rPr>
        <w:t>Al respecto resultan plenamente aplicables, por analogía, los siguientes criterios orientadores:</w:t>
      </w:r>
    </w:p>
    <w:p w14:paraId="01843E3E" w14:textId="77777777" w:rsidR="00001DF2" w:rsidRPr="00A555A1" w:rsidRDefault="00000000">
      <w:pPr>
        <w:spacing w:line="360" w:lineRule="auto"/>
        <w:ind w:left="851" w:right="618"/>
        <w:jc w:val="both"/>
        <w:rPr>
          <w:rFonts w:ascii="Century Gothic" w:eastAsia="Century Gothic" w:hAnsi="Century Gothic" w:cs="Century Gothic"/>
          <w:sz w:val="20"/>
          <w:szCs w:val="20"/>
        </w:rPr>
      </w:pPr>
      <w:r w:rsidRPr="00A555A1">
        <w:rPr>
          <w:rFonts w:ascii="Century Gothic" w:eastAsia="Century Gothic" w:hAnsi="Century Gothic" w:cs="Century Gothic"/>
          <w:sz w:val="20"/>
          <w:szCs w:val="20"/>
        </w:rPr>
        <w:t>Registro digital: 2026827; Instancia: Segunda Sala; Undécima Época; Materias(s): Común, Laboral; Tesis: 2a./J. 40/2023 (11a.); Fuente: Gaceta del Semanario Judicial de la Federación. Libro 27, Julio de 2023, Tomo II, página 1168; Tipo: Jurisprudencia</w:t>
      </w:r>
    </w:p>
    <w:p w14:paraId="49548B91" w14:textId="77777777" w:rsidR="00001DF2" w:rsidRPr="00A555A1" w:rsidRDefault="00000000">
      <w:pPr>
        <w:spacing w:line="360" w:lineRule="auto"/>
        <w:ind w:left="851" w:right="618"/>
        <w:jc w:val="both"/>
        <w:rPr>
          <w:rFonts w:ascii="Century Gothic" w:eastAsia="Century Gothic" w:hAnsi="Century Gothic" w:cs="Century Gothic"/>
          <w:b/>
          <w:bCs/>
          <w:sz w:val="20"/>
          <w:szCs w:val="20"/>
        </w:rPr>
      </w:pPr>
      <w:r w:rsidRPr="00A555A1">
        <w:rPr>
          <w:rFonts w:ascii="Century Gothic" w:eastAsia="Century Gothic" w:hAnsi="Century Gothic" w:cs="Century Gothic"/>
          <w:b/>
          <w:bCs/>
          <w:sz w:val="20"/>
          <w:szCs w:val="20"/>
        </w:rPr>
        <w:lastRenderedPageBreak/>
        <w:t>ACTO DE AUTORIDAD PARA EFECTOS DEL JUICIO DE AMPARO. LO CONSTITUYE LA ORDEN DE SUSPENDER, RETENER O CANCELAR EL PAGO DE LA PENSIÓN JUBILATORIA DERIVADA DEL CONTRATO COLECTIVO DE TRABAJO CELEBRADO ENTRE TELÉFONOS DE MÉXICO, SOCIEDAD ANÓNIMA BURSÁTIL DE CAPITAL VARIABLE Y EL SINDICATO DE TELEFONISTAS DE LA REPÚBLICA MEXICANA.</w:t>
      </w:r>
    </w:p>
    <w:p w14:paraId="4B7B189C" w14:textId="77777777" w:rsidR="00001DF2" w:rsidRPr="00A555A1" w:rsidRDefault="00000000">
      <w:pPr>
        <w:spacing w:line="360" w:lineRule="auto"/>
        <w:ind w:left="851" w:right="618"/>
        <w:jc w:val="both"/>
        <w:rPr>
          <w:rFonts w:ascii="Century Gothic" w:eastAsia="Century Gothic" w:hAnsi="Century Gothic" w:cs="Century Gothic"/>
          <w:sz w:val="20"/>
          <w:szCs w:val="20"/>
        </w:rPr>
      </w:pPr>
      <w:r w:rsidRPr="00A555A1">
        <w:rPr>
          <w:rFonts w:ascii="Century Gothic" w:eastAsia="Century Gothic" w:hAnsi="Century Gothic" w:cs="Century Gothic"/>
          <w:sz w:val="20"/>
          <w:szCs w:val="20"/>
        </w:rPr>
        <w:t>Hechos: Los Tribunales Colegiados de Circuito contendientes analizaron si el acto reclamado consistente en la orden de suspender el pago de la pensión jubilatoria otorgada por Teléfonos de México, Sociedad Anónima Bursátil de Capital Variable, en términos del contrato colectivo de trabajo celebrado entre dicha empresa y el Sindicato de Telefonistas de la República Mexicana, constituye o no un acto de autoridad para efectos del juicio de amparo.</w:t>
      </w:r>
    </w:p>
    <w:p w14:paraId="4C6C034B" w14:textId="77777777" w:rsidR="00001DF2" w:rsidRPr="00A555A1" w:rsidRDefault="00000000">
      <w:pPr>
        <w:spacing w:line="360" w:lineRule="auto"/>
        <w:ind w:left="851" w:right="618"/>
        <w:jc w:val="both"/>
        <w:rPr>
          <w:rFonts w:ascii="Century Gothic" w:eastAsia="Century Gothic" w:hAnsi="Century Gothic" w:cs="Century Gothic"/>
          <w:sz w:val="20"/>
          <w:szCs w:val="20"/>
        </w:rPr>
      </w:pPr>
      <w:r w:rsidRPr="00A555A1">
        <w:rPr>
          <w:rFonts w:ascii="Century Gothic" w:eastAsia="Century Gothic" w:hAnsi="Century Gothic" w:cs="Century Gothic"/>
          <w:sz w:val="20"/>
          <w:szCs w:val="20"/>
        </w:rPr>
        <w:t>Criterio jurídico: La Segunda Sala de la Suprema Corte de Justicia de la Nación decide que la orden de suspender, retener o cancelar el pago de la pensión por jubilación otorgada en términos del contrato colectivo de trabajo celebrado entre Teléfonos de México, Sociedad Anónima Bursátil de Capital Variable y el Sindicato de Telefonistas de la República Mexicana, constituye un acto de particular equivalente a uno de autoridad para efectos del juicio de amparo.</w:t>
      </w:r>
    </w:p>
    <w:p w14:paraId="66C7404A" w14:textId="77777777" w:rsidR="00001DF2" w:rsidRPr="00A555A1" w:rsidRDefault="00000000">
      <w:pPr>
        <w:pBdr>
          <w:bottom w:val="single" w:sz="6" w:space="1" w:color="000000"/>
        </w:pBdr>
        <w:spacing w:line="360" w:lineRule="auto"/>
        <w:ind w:left="851" w:right="618"/>
        <w:jc w:val="both"/>
        <w:rPr>
          <w:rFonts w:ascii="Century Gothic" w:eastAsia="Century Gothic" w:hAnsi="Century Gothic" w:cs="Century Gothic"/>
          <w:sz w:val="20"/>
          <w:szCs w:val="20"/>
        </w:rPr>
      </w:pPr>
      <w:r w:rsidRPr="00A555A1">
        <w:rPr>
          <w:rFonts w:ascii="Century Gothic" w:eastAsia="Century Gothic" w:hAnsi="Century Gothic" w:cs="Century Gothic"/>
          <w:sz w:val="20"/>
          <w:szCs w:val="20"/>
        </w:rPr>
        <w:t xml:space="preserve">Justificación: Esta Segunda Sala ha sostenido en diversos asuntos que </w:t>
      </w:r>
      <w:r w:rsidRPr="00A555A1">
        <w:rPr>
          <w:rFonts w:ascii="Century Gothic" w:eastAsia="Century Gothic" w:hAnsi="Century Gothic" w:cs="Century Gothic"/>
          <w:b/>
          <w:bCs/>
          <w:sz w:val="20"/>
          <w:szCs w:val="20"/>
        </w:rPr>
        <w:t>de conformidad con los artículos 1, último párrafo y 5, fracción II, de la Ley de Amparo, las características que deben ostentar los actos realizados por particulares con calidad de autoridad son:</w:t>
      </w:r>
      <w:r w:rsidRPr="00A555A1">
        <w:rPr>
          <w:rFonts w:ascii="Century Gothic" w:eastAsia="Century Gothic" w:hAnsi="Century Gothic" w:cs="Century Gothic"/>
          <w:sz w:val="20"/>
          <w:szCs w:val="20"/>
        </w:rPr>
        <w:t xml:space="preserve"> </w:t>
      </w:r>
      <w:r w:rsidRPr="00A555A1">
        <w:rPr>
          <w:rFonts w:ascii="Century Gothic" w:eastAsia="Century Gothic" w:hAnsi="Century Gothic" w:cs="Century Gothic"/>
          <w:b/>
          <w:bCs/>
          <w:sz w:val="20"/>
          <w:szCs w:val="20"/>
        </w:rPr>
        <w:t>1. Que realice actos equivalentes a los de autoridad</w:t>
      </w:r>
      <w:r w:rsidRPr="00A555A1">
        <w:rPr>
          <w:rFonts w:ascii="Century Gothic" w:eastAsia="Century Gothic" w:hAnsi="Century Gothic" w:cs="Century Gothic"/>
          <w:sz w:val="20"/>
          <w:szCs w:val="20"/>
        </w:rPr>
        <w:t xml:space="preserve">, esto es, que dicte, ordene, ejecute o trate de ejecutar algún acto en forma unilateral y obligatoria, o bien, que omita actuar en determinado sentido; </w:t>
      </w:r>
      <w:r w:rsidRPr="00A555A1">
        <w:rPr>
          <w:rFonts w:ascii="Century Gothic" w:eastAsia="Century Gothic" w:hAnsi="Century Gothic" w:cs="Century Gothic"/>
          <w:b/>
          <w:bCs/>
          <w:sz w:val="20"/>
          <w:szCs w:val="20"/>
        </w:rPr>
        <w:t>2. Que afecte derechos creando, modificando o extinguiendo situaciones jurídicas</w:t>
      </w:r>
      <w:r w:rsidRPr="00A555A1">
        <w:rPr>
          <w:rFonts w:ascii="Century Gothic" w:eastAsia="Century Gothic" w:hAnsi="Century Gothic" w:cs="Century Gothic"/>
          <w:sz w:val="20"/>
          <w:szCs w:val="20"/>
        </w:rPr>
        <w:t xml:space="preserve">; </w:t>
      </w:r>
      <w:r w:rsidRPr="00A555A1">
        <w:rPr>
          <w:rFonts w:ascii="Century Gothic" w:eastAsia="Century Gothic" w:hAnsi="Century Gothic" w:cs="Century Gothic"/>
          <w:b/>
          <w:bCs/>
          <w:sz w:val="20"/>
          <w:szCs w:val="20"/>
        </w:rPr>
        <w:t>y, 3. Que sus funciones estén determinadas en una norma general que le confiera las atribuciones para actuar como una autoridad del Estado</w:t>
      </w:r>
      <w:r w:rsidRPr="00A555A1">
        <w:rPr>
          <w:rFonts w:ascii="Century Gothic" w:eastAsia="Century Gothic" w:hAnsi="Century Gothic" w:cs="Century Gothic"/>
          <w:sz w:val="20"/>
          <w:szCs w:val="20"/>
        </w:rPr>
        <w:t>,</w:t>
      </w:r>
      <w:r w:rsidRPr="00A555A1">
        <w:rPr>
          <w:rFonts w:ascii="Century Gothic" w:eastAsia="Century Gothic" w:hAnsi="Century Gothic" w:cs="Century Gothic"/>
          <w:b/>
          <w:bCs/>
          <w:sz w:val="20"/>
          <w:szCs w:val="20"/>
        </w:rPr>
        <w:t xml:space="preserve"> </w:t>
      </w:r>
      <w:r w:rsidRPr="00A555A1">
        <w:rPr>
          <w:rFonts w:ascii="Century Gothic" w:eastAsia="Century Gothic" w:hAnsi="Century Gothic" w:cs="Century Gothic"/>
          <w:sz w:val="20"/>
          <w:szCs w:val="20"/>
        </w:rPr>
        <w:t>cuyo ejercicio, por lo general, tenga un margen de discrecionalidad</w:t>
      </w:r>
      <w:r w:rsidRPr="00A555A1">
        <w:rPr>
          <w:rFonts w:ascii="Century Gothic" w:eastAsia="Century Gothic" w:hAnsi="Century Gothic" w:cs="Century Gothic"/>
          <w:b/>
          <w:bCs/>
          <w:sz w:val="20"/>
          <w:szCs w:val="20"/>
        </w:rPr>
        <w:t>.</w:t>
      </w:r>
      <w:r w:rsidRPr="00A555A1">
        <w:rPr>
          <w:rFonts w:ascii="Century Gothic" w:eastAsia="Century Gothic" w:hAnsi="Century Gothic" w:cs="Century Gothic"/>
          <w:sz w:val="20"/>
          <w:szCs w:val="20"/>
        </w:rPr>
        <w:t xml:space="preserve"> De manera que, en los casos como el que se analiza, en los que en términos de un contrato colectivo de trabajo la parte empleadora convino con los trabajadores en el otorgamiento de la jubilación, como prestación complementaria a las derivadas del régimen obligatorio de seguridad social y su pago comprende tanto la prestación extralegal convenida, como las derivadas de la ley, el patrón se erige frente al trabajador como una entidad obligada a promover, respetar y garantizar el derecho humano a la seguridad social tutelado en el artículo 123, apartado A, fracción XXIX, de la Constitución Federal, bajo las modalidades y condiciones previstas en la Ley del Seguro Social y, por tanto, al suspender, modificar o cancelar de manera unilateral y obligatoria el pago de la jubilación, no sólo está afectando la prestación extralegal que se obligó a pagar en términos del pacto colectivo correspondiente, sino también la parte que corresponde a la pensión de cesantía en edad avanzada o vejez derivada del régimen obligatorio de seguridad social, de ahí que la </w:t>
      </w:r>
      <w:r w:rsidRPr="00A555A1">
        <w:rPr>
          <w:rFonts w:ascii="Century Gothic" w:eastAsia="Century Gothic" w:hAnsi="Century Gothic" w:cs="Century Gothic"/>
          <w:sz w:val="20"/>
          <w:szCs w:val="20"/>
        </w:rPr>
        <w:lastRenderedPageBreak/>
        <w:t>mencionada orden constituye un acto de particular equivalente a uno de autoridad. Lo anterior, siempre que las constancias de autos o las recabadas por el juzgador de amparo corroboren que la orden de suspender o cancelar la jubilación comprende tanto la parte extralegal de la mencionada prestación, como la derivada del régimen obligatorio de seguridad social, pues para el caso de que la mencionada orden se refiera sólo a la parte extralegal de la prestación, únicamente será reclamable a través del conflicto de seguridad social que se plantee en términos de lo previsto en el artículo 899-A de la Ley Federal del Trabajo.</w:t>
      </w:r>
    </w:p>
    <w:p w14:paraId="04FA543E" w14:textId="77777777" w:rsidR="00001DF2" w:rsidRPr="00A555A1" w:rsidRDefault="00000000">
      <w:pPr>
        <w:pBdr>
          <w:bottom w:val="single" w:sz="6" w:space="1" w:color="000000"/>
        </w:pBdr>
        <w:spacing w:line="360" w:lineRule="auto"/>
        <w:ind w:left="851" w:right="618"/>
        <w:jc w:val="both"/>
        <w:rPr>
          <w:rFonts w:ascii="Century Gothic" w:eastAsia="Century Gothic" w:hAnsi="Century Gothic" w:cs="Century Gothic"/>
          <w:b/>
          <w:bCs/>
        </w:rPr>
      </w:pPr>
      <w:r w:rsidRPr="00A555A1">
        <w:rPr>
          <w:rFonts w:ascii="Century Gothic" w:eastAsia="Century Gothic" w:hAnsi="Century Gothic" w:cs="Century Gothic"/>
          <w:b/>
          <w:bCs/>
        </w:rPr>
        <w:t>(Énfasis añadido)</w:t>
      </w:r>
    </w:p>
    <w:p w14:paraId="127E7D95" w14:textId="77777777" w:rsidR="00001DF2" w:rsidRPr="00A555A1" w:rsidRDefault="00001DF2">
      <w:pPr>
        <w:spacing w:line="360" w:lineRule="auto"/>
        <w:ind w:left="851" w:right="618"/>
        <w:jc w:val="both"/>
        <w:rPr>
          <w:rFonts w:ascii="Century Gothic" w:eastAsia="Century Gothic" w:hAnsi="Century Gothic" w:cs="Century Gothic"/>
          <w:sz w:val="20"/>
          <w:szCs w:val="20"/>
        </w:rPr>
      </w:pPr>
    </w:p>
    <w:p w14:paraId="19A4734E" w14:textId="77777777" w:rsidR="00001DF2" w:rsidRPr="00A555A1" w:rsidRDefault="00000000">
      <w:pPr>
        <w:spacing w:line="360" w:lineRule="auto"/>
        <w:ind w:left="851" w:right="618"/>
        <w:jc w:val="both"/>
        <w:rPr>
          <w:rFonts w:ascii="Century Gothic" w:eastAsia="Century Gothic" w:hAnsi="Century Gothic" w:cs="Century Gothic"/>
          <w:sz w:val="20"/>
          <w:szCs w:val="20"/>
        </w:rPr>
      </w:pPr>
      <w:r w:rsidRPr="00A555A1">
        <w:rPr>
          <w:rFonts w:ascii="Century Gothic" w:eastAsia="Century Gothic" w:hAnsi="Century Gothic" w:cs="Century Gothic"/>
          <w:sz w:val="20"/>
          <w:szCs w:val="20"/>
        </w:rPr>
        <w:t>Registro digital: 2020073; Instancia: Plenos de Circuito; Décima Época; Materias(s): Común, Penal; Tesis: PC.I.P. J/56 P (10a.); Fuente: Gaceta del Semanario Judicial de la Federación. Libro 67, Junio de 2019, Tomo V, página 4357; Tipo: Jurisprudencia</w:t>
      </w:r>
    </w:p>
    <w:p w14:paraId="54E83753" w14:textId="77777777" w:rsidR="00001DF2" w:rsidRPr="00A555A1" w:rsidRDefault="00000000">
      <w:pPr>
        <w:spacing w:line="360" w:lineRule="auto"/>
        <w:ind w:left="851" w:right="618"/>
        <w:jc w:val="both"/>
        <w:rPr>
          <w:rFonts w:ascii="Century Gothic" w:eastAsia="Century Gothic" w:hAnsi="Century Gothic" w:cs="Century Gothic"/>
          <w:b/>
          <w:bCs/>
          <w:sz w:val="20"/>
          <w:szCs w:val="20"/>
        </w:rPr>
      </w:pPr>
      <w:r w:rsidRPr="00A555A1">
        <w:rPr>
          <w:rFonts w:ascii="Century Gothic" w:eastAsia="Century Gothic" w:hAnsi="Century Gothic" w:cs="Century Gothic"/>
          <w:b/>
          <w:bCs/>
          <w:sz w:val="20"/>
          <w:szCs w:val="20"/>
        </w:rPr>
        <w:t>INSTITUCIONES BANCARIAS. TIENEN EL CARÁCTER DE AUTORIDAD RESPONSABLE PARA EFECTOS DEL JUICIO DE AMPARO, CUANDO EJECUTAN LOS ASEGURAMIENTOS DE CUENTAS BANCARIAS ORDENADOS EN EL PROCEDIMIENTO PENAL POR LA AUTORIDAD MINISTERIAL O JUDICIAL.</w:t>
      </w:r>
    </w:p>
    <w:p w14:paraId="6B9F49A2" w14:textId="77777777" w:rsidR="00001DF2" w:rsidRPr="00A555A1" w:rsidRDefault="00000000">
      <w:pPr>
        <w:spacing w:line="360" w:lineRule="auto"/>
        <w:ind w:left="851" w:right="618"/>
        <w:jc w:val="both"/>
        <w:rPr>
          <w:rFonts w:ascii="Century Gothic" w:eastAsia="Century Gothic" w:hAnsi="Century Gothic" w:cs="Century Gothic"/>
          <w:sz w:val="20"/>
          <w:szCs w:val="20"/>
        </w:rPr>
      </w:pPr>
      <w:r w:rsidRPr="00A555A1">
        <w:rPr>
          <w:rFonts w:ascii="Century Gothic" w:eastAsia="Century Gothic" w:hAnsi="Century Gothic" w:cs="Century Gothic"/>
          <w:sz w:val="20"/>
          <w:szCs w:val="20"/>
        </w:rPr>
        <w:t xml:space="preserve">El artículo 5o., fracción II, de la Ley de Amparo establece que tiene el carácter de autoridad responsable, con independencia de su naturaleza formal, la que dicta, ordena, ejecuta o trata de ejecutar el acto que crea, modifica o extingue situaciones jurídicas en forma unilateral y obligatoria, u omita el acto que, de realizarse, crearía, modificaría o extinguiría dichas situaciones jurídicas. Asimismo, señala que </w:t>
      </w:r>
      <w:r w:rsidRPr="00A555A1">
        <w:rPr>
          <w:rFonts w:ascii="Century Gothic" w:eastAsia="Century Gothic" w:hAnsi="Century Gothic" w:cs="Century Gothic"/>
          <w:b/>
          <w:bCs/>
          <w:sz w:val="20"/>
          <w:szCs w:val="20"/>
        </w:rPr>
        <w:t>los particulares tendrán esa calidad cuando realicen actos equivalentes a los de autoridad, que afecten derechos en los términos de esa fracción, y cuyas funciones estén determinadas por una norma general</w:t>
      </w:r>
      <w:r w:rsidRPr="00A555A1">
        <w:rPr>
          <w:rFonts w:ascii="Century Gothic" w:eastAsia="Century Gothic" w:hAnsi="Century Gothic" w:cs="Century Gothic"/>
          <w:sz w:val="20"/>
          <w:szCs w:val="20"/>
        </w:rPr>
        <w:t xml:space="preserve">. Este segundo supuesto normativo se actualiza cuando los bancos ejecutan aseguramientos de cuentas ordenados en el procedimiento penal por la autoridad ministerial o judicial, pues si bien se trata de personas morales privadas, al inmovilizar o bloquear las cuentas, su actuación es equivalente al acto de una autoridad, porque ejerce facultades de ejecución como lo haría cualquier otra autoridad para materializar una medida cautelar, y su actuar es unilateral y obligatorio, ya que se ejerce sin que medie voluntad de la persona afectada, derivado de lo cual afectan los derechos del gobernado, al crear una situación jurídica que restringe la disposición de bienes o recursos, e impide la realización de cualquier otra operación financiera en sus cuentas bancarias. Además, las funciones del banco en la ejecución del aseguramiento de cuentas están determinadas en una norma general, como son los artículos 4, fracción XIX, de la Ley de la Comisión Nacional Bancaria y de Valores, así como 44, fracciones I a IV, del Reglamento Interior de la Comisión Nacional Bancaria y de Valores, que les confieren </w:t>
      </w:r>
      <w:r w:rsidRPr="00A555A1">
        <w:rPr>
          <w:rFonts w:ascii="Century Gothic" w:eastAsia="Century Gothic" w:hAnsi="Century Gothic" w:cs="Century Gothic"/>
          <w:sz w:val="20"/>
          <w:szCs w:val="20"/>
        </w:rPr>
        <w:lastRenderedPageBreak/>
        <w:t>atribuciones para actuar con imperio como una autoridad ejecutora, en tanto disponen que los bancos están obligados a acatar lo solicitado, de forma que la inmovilización de las cuentas no surge por impulso de su parte, sino mediante autorización del Estado, en virtud de la norma general referida.</w:t>
      </w:r>
    </w:p>
    <w:p w14:paraId="58D8CDED" w14:textId="77777777" w:rsidR="00001DF2" w:rsidRPr="00A555A1" w:rsidRDefault="00000000">
      <w:pPr>
        <w:pBdr>
          <w:bottom w:val="single" w:sz="6" w:space="1" w:color="000000"/>
        </w:pBdr>
        <w:spacing w:line="360" w:lineRule="auto"/>
        <w:ind w:left="851" w:right="618"/>
        <w:jc w:val="both"/>
        <w:rPr>
          <w:rFonts w:ascii="Century Gothic" w:eastAsia="Century Gothic" w:hAnsi="Century Gothic" w:cs="Century Gothic"/>
          <w:sz w:val="20"/>
          <w:szCs w:val="20"/>
        </w:rPr>
      </w:pPr>
      <w:r w:rsidRPr="00A555A1">
        <w:rPr>
          <w:rFonts w:ascii="Century Gothic" w:eastAsia="Century Gothic" w:hAnsi="Century Gothic" w:cs="Century Gothic"/>
          <w:sz w:val="20"/>
          <w:szCs w:val="20"/>
        </w:rPr>
        <w:t>PLENO EN MATERIA PENAL DEL PRIMER CIRCUITO.</w:t>
      </w:r>
    </w:p>
    <w:p w14:paraId="1060E387" w14:textId="77777777" w:rsidR="00001DF2" w:rsidRPr="00A555A1" w:rsidRDefault="00000000">
      <w:pPr>
        <w:pBdr>
          <w:bottom w:val="single" w:sz="6" w:space="1" w:color="000000"/>
        </w:pBdr>
        <w:spacing w:line="360" w:lineRule="auto"/>
        <w:ind w:left="851" w:right="618"/>
        <w:jc w:val="both"/>
        <w:rPr>
          <w:rFonts w:ascii="Century Gothic" w:eastAsia="Century Gothic" w:hAnsi="Century Gothic" w:cs="Century Gothic"/>
          <w:b/>
          <w:bCs/>
        </w:rPr>
      </w:pPr>
      <w:r w:rsidRPr="00A555A1">
        <w:rPr>
          <w:rFonts w:ascii="Century Gothic" w:eastAsia="Century Gothic" w:hAnsi="Century Gothic" w:cs="Century Gothic"/>
          <w:b/>
          <w:bCs/>
        </w:rPr>
        <w:t>(Énfasis añadido)</w:t>
      </w:r>
    </w:p>
    <w:p w14:paraId="70057121" w14:textId="77777777" w:rsidR="00001DF2" w:rsidRPr="00A555A1" w:rsidRDefault="00000000">
      <w:pPr>
        <w:spacing w:line="360" w:lineRule="auto"/>
        <w:ind w:right="23" w:firstLine="1418"/>
        <w:jc w:val="both"/>
        <w:rPr>
          <w:rFonts w:ascii="Century Gothic" w:eastAsia="Century Gothic" w:hAnsi="Century Gothic" w:cs="Century Gothic"/>
        </w:rPr>
      </w:pPr>
      <w:r w:rsidRPr="00A555A1">
        <w:rPr>
          <w:rFonts w:ascii="Century Gothic" w:eastAsia="Century Gothic" w:hAnsi="Century Gothic" w:cs="Century Gothic"/>
        </w:rPr>
        <w:t>Razón por la cual resulta legalmente procedente que se requiera a dicha autoridad de facto, emita su informe previo en relación con la suspensión del acto reclamado en el presente juicio.</w:t>
      </w:r>
    </w:p>
    <w:p w14:paraId="1BD1FCF2" w14:textId="77777777" w:rsidR="00001DF2" w:rsidRPr="00A555A1" w:rsidRDefault="00001DF2">
      <w:pPr>
        <w:spacing w:line="360" w:lineRule="auto"/>
        <w:ind w:right="23" w:firstLine="1418"/>
        <w:jc w:val="both"/>
        <w:rPr>
          <w:rFonts w:ascii="Century Gothic" w:eastAsia="Century Gothic" w:hAnsi="Century Gothic" w:cs="Century Gothic"/>
        </w:rPr>
      </w:pPr>
    </w:p>
    <w:p w14:paraId="61E1906D" w14:textId="12397966"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b/>
          <w:bCs/>
        </w:rPr>
        <w:t>IV. ACTO RECLAMADO.</w:t>
      </w:r>
      <w:r w:rsidRPr="00A555A1">
        <w:rPr>
          <w:rFonts w:ascii="Century Gothic" w:eastAsia="Century Gothic" w:hAnsi="Century Gothic" w:cs="Century Gothic"/>
        </w:rPr>
        <w:t xml:space="preserve"> Se reclama la inconstitucionalidad de los artículos 103 y 164, fracción III de la LMTR, así como la totalidad de los Lineamientos para la Identificación de Líneas Telefónicas Móviles. En vía de consecuencia y como primer acto concreto de aplicación que materializa el perjuicio en</w:t>
      </w:r>
      <w:r w:rsidR="00067F91">
        <w:rPr>
          <w:rFonts w:ascii="Century Gothic" w:eastAsia="Century Gothic" w:hAnsi="Century Gothic" w:cs="Century Gothic"/>
        </w:rPr>
        <w:t xml:space="preserve"> la </w:t>
      </w:r>
      <w:r w:rsidRPr="00A555A1">
        <w:rPr>
          <w:rFonts w:ascii="Century Gothic" w:eastAsia="Century Gothic" w:hAnsi="Century Gothic" w:cs="Century Gothic"/>
        </w:rPr>
        <w:t>esfera jurídica</w:t>
      </w:r>
      <w:r w:rsidR="00067F91">
        <w:rPr>
          <w:rFonts w:ascii="Century Gothic" w:eastAsia="Century Gothic" w:hAnsi="Century Gothic" w:cs="Century Gothic"/>
        </w:rPr>
        <w:t xml:space="preserve"> de la persona quejosa</w:t>
      </w:r>
      <w:r w:rsidRPr="00A555A1">
        <w:rPr>
          <w:rFonts w:ascii="Century Gothic" w:eastAsia="Century Gothic" w:hAnsi="Century Gothic" w:cs="Century Gothic"/>
        </w:rPr>
        <w:t xml:space="preserve">, reclamo la </w:t>
      </w:r>
      <w:r w:rsidR="00067F91">
        <w:rPr>
          <w:rFonts w:ascii="Century Gothic" w:eastAsia="Century Gothic" w:hAnsi="Century Gothic" w:cs="Century Gothic"/>
        </w:rPr>
        <w:t xml:space="preserve">inhabilitación, </w:t>
      </w:r>
      <w:r w:rsidRPr="00A555A1">
        <w:rPr>
          <w:rFonts w:ascii="Century Gothic" w:eastAsia="Century Gothic" w:hAnsi="Century Gothic" w:cs="Century Gothic"/>
        </w:rPr>
        <w:t xml:space="preserve">suspensión material e inminente cancelación de mi línea telefónica móvil, </w:t>
      </w:r>
      <w:r w:rsidRPr="00DE3BA9">
        <w:rPr>
          <w:rFonts w:ascii="Century Gothic" w:eastAsia="Century Gothic" w:hAnsi="Century Gothic" w:cs="Century Gothic"/>
        </w:rPr>
        <w:t xml:space="preserve">número </w:t>
      </w:r>
      <w:r w:rsidRPr="00435366">
        <w:rPr>
          <w:rFonts w:ascii="Century Gothic" w:eastAsia="Century Gothic" w:hAnsi="Century Gothic" w:cs="Century Gothic"/>
          <w:b/>
          <w:bCs/>
        </w:rPr>
        <w:t>{{NUMERO_TELEFONO}}</w:t>
      </w:r>
      <w:r w:rsidRPr="00DE3BA9">
        <w:rPr>
          <w:rFonts w:ascii="Century Gothic" w:eastAsia="Century Gothic" w:hAnsi="Century Gothic" w:cs="Century Gothic"/>
        </w:rPr>
        <w:t>,</w:t>
      </w:r>
      <w:r w:rsidRPr="00A555A1">
        <w:rPr>
          <w:rFonts w:ascii="Century Gothic" w:eastAsia="Century Gothic" w:hAnsi="Century Gothic" w:cs="Century Gothic"/>
        </w:rPr>
        <w:t xml:space="preserve"> ejecutada por la concesionaria al amparo de las normas tildadas de inconstitucionales y derivada exclusivamente de mi legítima negativa a someterme a un registro de orden documental y biométrico (denominado eufemísticamente </w:t>
      </w:r>
      <w:r w:rsidRPr="00A555A1">
        <w:rPr>
          <w:rFonts w:ascii="Century Gothic" w:eastAsia="Century Gothic" w:hAnsi="Century Gothic" w:cs="Century Gothic"/>
          <w:b/>
          <w:bCs/>
        </w:rPr>
        <w:t>"Prueba de Vida"</w:t>
      </w:r>
      <w:r w:rsidRPr="00A555A1">
        <w:rPr>
          <w:rFonts w:ascii="Century Gothic" w:eastAsia="Century Gothic" w:hAnsi="Century Gothic" w:cs="Century Gothic"/>
        </w:rPr>
        <w:t>) que atenta contra mis derechos humanos.</w:t>
      </w:r>
    </w:p>
    <w:p w14:paraId="256E8E80" w14:textId="77777777" w:rsidR="00001DF2" w:rsidRPr="00A555A1" w:rsidRDefault="00001DF2">
      <w:pPr>
        <w:spacing w:line="360" w:lineRule="auto"/>
        <w:ind w:firstLine="1418"/>
        <w:jc w:val="both"/>
        <w:rPr>
          <w:rFonts w:ascii="Century Gothic" w:eastAsia="Century Gothic" w:hAnsi="Century Gothic" w:cs="Century Gothic"/>
        </w:rPr>
      </w:pPr>
    </w:p>
    <w:p w14:paraId="1D5D835E"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b/>
          <w:bCs/>
        </w:rPr>
        <w:t>V. ANTECEDENTES DEL ACTO RECLAMADO.</w:t>
      </w:r>
      <w:r w:rsidRPr="00A555A1">
        <w:rPr>
          <w:rFonts w:ascii="Century Gothic" w:eastAsia="Century Gothic" w:hAnsi="Century Gothic" w:cs="Century Gothic"/>
        </w:rPr>
        <w:t xml:space="preserve"> BAJO PROTESTA DE DECIR VERDAD, manifiesto que los hechos y abstenciones que constituyen los antecedentes del acto reclamado o que sirvan de fundamento a los conceptos de violación, son los siguientes:</w:t>
      </w:r>
    </w:p>
    <w:p w14:paraId="27856FD6" w14:textId="3F8BB592" w:rsidR="00001DF2" w:rsidRPr="00A555A1" w:rsidRDefault="00000000">
      <w:pPr>
        <w:numPr>
          <w:ilvl w:val="0"/>
          <w:numId w:val="7"/>
        </w:numPr>
        <w:tabs>
          <w:tab w:val="left" w:pos="1985"/>
        </w:tabs>
        <w:spacing w:line="360" w:lineRule="auto"/>
        <w:ind w:left="0" w:firstLine="1560"/>
        <w:jc w:val="both"/>
        <w:rPr>
          <w:rFonts w:ascii="Century Gothic" w:eastAsia="Century Gothic" w:hAnsi="Century Gothic" w:cs="Century Gothic"/>
        </w:rPr>
      </w:pPr>
      <w:r w:rsidRPr="00A555A1">
        <w:rPr>
          <w:rFonts w:ascii="Century Gothic" w:eastAsia="Century Gothic" w:hAnsi="Century Gothic" w:cs="Century Gothic"/>
        </w:rPr>
        <w:t>El 16 de julio de 2025 se publicó en el Diario Oficial de la Federación el Decreto por el que se expide LMTR, cuerpo normativo que en sus artículos 103 y 164, fracción III, impone una obligación ineludible a los concesionarios y comercializadoras consistente en activar y mantener activo el servicio únicamente de aquellas líneas asociadas a usuarios finales que hayan presentado una identificación oficial con datos sensibles.</w:t>
      </w:r>
    </w:p>
    <w:p w14:paraId="4520318B" w14:textId="6200C746" w:rsidR="00001DF2" w:rsidRPr="00A555A1" w:rsidRDefault="00000000">
      <w:pPr>
        <w:numPr>
          <w:ilvl w:val="0"/>
          <w:numId w:val="7"/>
        </w:numPr>
        <w:tabs>
          <w:tab w:val="left" w:pos="1985"/>
        </w:tabs>
        <w:spacing w:line="360" w:lineRule="auto"/>
        <w:ind w:left="0" w:firstLine="1560"/>
        <w:jc w:val="both"/>
        <w:rPr>
          <w:rFonts w:ascii="Century Gothic" w:eastAsia="Century Gothic" w:hAnsi="Century Gothic" w:cs="Century Gothic"/>
        </w:rPr>
      </w:pPr>
      <w:r w:rsidRPr="00A555A1">
        <w:rPr>
          <w:rFonts w:ascii="Century Gothic" w:eastAsia="Century Gothic" w:hAnsi="Century Gothic" w:cs="Century Gothic"/>
        </w:rPr>
        <w:t xml:space="preserve">El </w:t>
      </w:r>
      <w:r w:rsidR="002178C7">
        <w:rPr>
          <w:rFonts w:ascii="Century Gothic" w:eastAsia="Century Gothic" w:hAnsi="Century Gothic" w:cs="Century Gothic"/>
        </w:rPr>
        <w:t>9</w:t>
      </w:r>
      <w:r w:rsidRPr="00A555A1">
        <w:rPr>
          <w:rFonts w:ascii="Century Gothic" w:eastAsia="Century Gothic" w:hAnsi="Century Gothic" w:cs="Century Gothic"/>
        </w:rPr>
        <w:t xml:space="preserve"> de diciembre de 2025, </w:t>
      </w:r>
      <w:r w:rsidR="002178C7">
        <w:rPr>
          <w:rFonts w:ascii="Century Gothic" w:eastAsia="Century Gothic" w:hAnsi="Century Gothic" w:cs="Century Gothic"/>
        </w:rPr>
        <w:t>en la edición vespertina d</w:t>
      </w:r>
      <w:r w:rsidRPr="00A555A1">
        <w:rPr>
          <w:rFonts w:ascii="Century Gothic" w:eastAsia="Century Gothic" w:hAnsi="Century Gothic" w:cs="Century Gothic"/>
        </w:rPr>
        <w:t>el mismo medio oficial</w:t>
      </w:r>
      <w:r w:rsidR="002178C7">
        <w:rPr>
          <w:rFonts w:ascii="Century Gothic" w:eastAsia="Century Gothic" w:hAnsi="Century Gothic" w:cs="Century Gothic"/>
        </w:rPr>
        <w:t xml:space="preserve">, se publicó </w:t>
      </w:r>
      <w:r w:rsidRPr="00A555A1">
        <w:rPr>
          <w:rFonts w:ascii="Century Gothic" w:eastAsia="Century Gothic" w:hAnsi="Century Gothic" w:cs="Century Gothic"/>
        </w:rPr>
        <w:t xml:space="preserve">el </w:t>
      </w:r>
      <w:r w:rsidR="002178C7" w:rsidRPr="002178C7">
        <w:rPr>
          <w:rFonts w:ascii="Century Gothic" w:eastAsia="Century Gothic" w:hAnsi="Century Gothic" w:cs="Century Gothic"/>
          <w:i/>
          <w:iCs/>
        </w:rPr>
        <w:t xml:space="preserve">ACUERDO mediante el cual el Pleno de la Comisión Reguladora de Telecomunicaciones aprueba y emite los Lineamientos para </w:t>
      </w:r>
      <w:r w:rsidR="002178C7" w:rsidRPr="002178C7">
        <w:rPr>
          <w:rFonts w:ascii="Century Gothic" w:eastAsia="Century Gothic" w:hAnsi="Century Gothic" w:cs="Century Gothic"/>
          <w:i/>
          <w:iCs/>
        </w:rPr>
        <w:lastRenderedPageBreak/>
        <w:t>la Identificación de Líneas Telefónicas Móviles</w:t>
      </w:r>
      <w:r w:rsidR="002178C7" w:rsidRPr="002178C7">
        <w:rPr>
          <w:rFonts w:ascii="Century Gothic" w:eastAsia="Century Gothic" w:hAnsi="Century Gothic" w:cs="Century Gothic"/>
        </w:rPr>
        <w:t>.</w:t>
      </w:r>
      <w:r w:rsidRPr="00A555A1">
        <w:rPr>
          <w:rFonts w:ascii="Century Gothic" w:eastAsia="Century Gothic" w:hAnsi="Century Gothic" w:cs="Century Gothic"/>
        </w:rPr>
        <w:t xml:space="preserve"> </w:t>
      </w:r>
      <w:r w:rsidR="002178C7">
        <w:rPr>
          <w:rFonts w:ascii="Century Gothic" w:eastAsia="Century Gothic" w:hAnsi="Century Gothic" w:cs="Century Gothic"/>
        </w:rPr>
        <w:t>Acuerdo que</w:t>
      </w:r>
      <w:r w:rsidRPr="00A555A1">
        <w:rPr>
          <w:rFonts w:ascii="Century Gothic" w:eastAsia="Century Gothic" w:hAnsi="Century Gothic" w:cs="Century Gothic"/>
        </w:rPr>
        <w:t xml:space="preserve"> agrava esta injerencia al establecer plazos coercitivos para la vinculación de líneas mediante las denominadas "pruebas de vida" y la entrega de datos personales, imponiendo la amenaza expresa de suspensión del servicio como</w:t>
      </w:r>
      <w:r w:rsidR="002178C7">
        <w:rPr>
          <w:rFonts w:ascii="Century Gothic" w:eastAsia="Century Gothic" w:hAnsi="Century Gothic" w:cs="Century Gothic"/>
        </w:rPr>
        <w:t xml:space="preserve"> consecuencia por la negativa de vinculación</w:t>
      </w:r>
      <w:r w:rsidRPr="00A555A1">
        <w:rPr>
          <w:rFonts w:ascii="Century Gothic" w:eastAsia="Century Gothic" w:hAnsi="Century Gothic" w:cs="Century Gothic"/>
        </w:rPr>
        <w:t>.</w:t>
      </w:r>
    </w:p>
    <w:p w14:paraId="7C392199" w14:textId="77777777" w:rsidR="002178C7" w:rsidRDefault="002178C7" w:rsidP="002178C7">
      <w:pPr>
        <w:numPr>
          <w:ilvl w:val="0"/>
          <w:numId w:val="7"/>
        </w:numPr>
        <w:tabs>
          <w:tab w:val="left" w:pos="1985"/>
        </w:tabs>
        <w:spacing w:line="360" w:lineRule="auto"/>
        <w:ind w:left="0" w:firstLine="1560"/>
        <w:jc w:val="both"/>
        <w:rPr>
          <w:rFonts w:ascii="Century Gothic" w:eastAsia="Century Gothic" w:hAnsi="Century Gothic" w:cs="Century Gothic"/>
        </w:rPr>
      </w:pPr>
      <w:r>
        <w:rPr>
          <w:rFonts w:ascii="Century Gothic" w:eastAsia="Century Gothic" w:hAnsi="Century Gothic" w:cs="Century Gothic"/>
        </w:rPr>
        <w:t>El 30 de junio de 2026, en la edición vespertina d</w:t>
      </w:r>
      <w:r w:rsidRPr="00A555A1">
        <w:rPr>
          <w:rFonts w:ascii="Century Gothic" w:eastAsia="Century Gothic" w:hAnsi="Century Gothic" w:cs="Century Gothic"/>
        </w:rPr>
        <w:t>el mismo medio oficial</w:t>
      </w:r>
      <w:r>
        <w:rPr>
          <w:rFonts w:ascii="Century Gothic" w:eastAsia="Century Gothic" w:hAnsi="Century Gothic" w:cs="Century Gothic"/>
        </w:rPr>
        <w:t xml:space="preserve">, se publicó el </w:t>
      </w:r>
      <w:r w:rsidRPr="00A777CF">
        <w:rPr>
          <w:rFonts w:ascii="Century Gothic" w:eastAsia="Century Gothic" w:hAnsi="Century Gothic" w:cs="Century Gothic"/>
        </w:rPr>
        <w:t xml:space="preserve">ACUERDO mediante el cual el Pleno de la Comisión Reguladora de Telecomunicaciones aprueba y emite la modificación a los Lineamientos para la identificación de líneas telefónicas móviles. </w:t>
      </w:r>
      <w:r>
        <w:rPr>
          <w:rFonts w:ascii="Century Gothic" w:eastAsia="Century Gothic" w:hAnsi="Century Gothic" w:cs="Century Gothic"/>
        </w:rPr>
        <w:t xml:space="preserve">En el cual se modifican las fechas de la suspensión atendiendo al último digito del teléfono móvil y se comenten diversas violaciones a la CPEUM. </w:t>
      </w:r>
    </w:p>
    <w:p w14:paraId="7F19824D" w14:textId="071DB646" w:rsidR="00001DF2" w:rsidRPr="00A555A1" w:rsidRDefault="00175C2F">
      <w:pPr>
        <w:numPr>
          <w:ilvl w:val="0"/>
          <w:numId w:val="7"/>
        </w:numPr>
        <w:tabs>
          <w:tab w:val="left" w:pos="1985"/>
        </w:tabs>
        <w:spacing w:line="360" w:lineRule="auto"/>
        <w:ind w:left="0" w:firstLine="1560"/>
        <w:jc w:val="both"/>
        <w:rPr>
          <w:rFonts w:ascii="Century Gothic" w:eastAsia="Century Gothic" w:hAnsi="Century Gothic" w:cs="Century Gothic"/>
        </w:rPr>
      </w:pPr>
      <w:r>
        <w:rPr>
          <w:rFonts w:ascii="Century Gothic" w:eastAsia="Century Gothic" w:hAnsi="Century Gothic" w:cs="Century Gothic"/>
        </w:rPr>
        <w:t>Quien suscribe</w:t>
      </w:r>
      <w:r w:rsidRPr="00A555A1">
        <w:rPr>
          <w:rFonts w:ascii="Century Gothic" w:eastAsia="Century Gothic" w:hAnsi="Century Gothic" w:cs="Century Gothic"/>
        </w:rPr>
        <w:t xml:space="preserve"> adquirió de manera lícita, comercial y previa a la exigibilidad coactiva de estos Lineamientos, una línea telefónica móvil correspondiente al número </w:t>
      </w:r>
      <w:r w:rsidRPr="003317B7">
        <w:rPr>
          <w:rFonts w:ascii="Century Gothic" w:eastAsia="Century Gothic" w:hAnsi="Century Gothic" w:cs="Century Gothic"/>
          <w:b/>
          <w:bCs/>
        </w:rPr>
        <w:t>{{NUMERO_TELEFONO}}</w:t>
      </w:r>
      <w:r w:rsidRPr="00DE3BA9">
        <w:rPr>
          <w:rFonts w:ascii="Century Gothic" w:eastAsia="Century Gothic" w:hAnsi="Century Gothic" w:cs="Century Gothic"/>
        </w:rPr>
        <w:t>.</w:t>
      </w:r>
      <w:r w:rsidRPr="00A555A1">
        <w:rPr>
          <w:rFonts w:ascii="Century Gothic" w:eastAsia="Century Gothic" w:hAnsi="Century Gothic" w:cs="Century Gothic"/>
          <w:b/>
          <w:bCs/>
        </w:rPr>
        <w:t xml:space="preserve"> </w:t>
      </w:r>
      <w:r w:rsidRPr="00A555A1">
        <w:rPr>
          <w:rFonts w:ascii="Century Gothic" w:eastAsia="Century Gothic" w:hAnsi="Century Gothic" w:cs="Century Gothic"/>
        </w:rPr>
        <w:t>Esta herramienta de comunicación la utilizo de forma cotidiana e indispensable para mi desarrollo personal, mi ejercicio profesional, libertad de expresión y libre acceso a las tecnologías de la información y comunicación (en adelante, TIC).</w:t>
      </w:r>
    </w:p>
    <w:p w14:paraId="10A8B7E4" w14:textId="42A5A6F2" w:rsidR="00001DF2" w:rsidRPr="00A555A1" w:rsidRDefault="00000000">
      <w:pPr>
        <w:numPr>
          <w:ilvl w:val="0"/>
          <w:numId w:val="7"/>
        </w:numPr>
        <w:tabs>
          <w:tab w:val="left" w:pos="1985"/>
        </w:tabs>
        <w:spacing w:line="360" w:lineRule="auto"/>
        <w:ind w:left="0" w:firstLine="1560"/>
        <w:jc w:val="both"/>
        <w:rPr>
          <w:rFonts w:ascii="Century Gothic" w:eastAsia="Century Gothic" w:hAnsi="Century Gothic" w:cs="Century Gothic"/>
        </w:rPr>
      </w:pPr>
      <w:r w:rsidRPr="00A555A1">
        <w:rPr>
          <w:rFonts w:ascii="Century Gothic" w:eastAsia="Century Gothic" w:hAnsi="Century Gothic" w:cs="Century Gothic"/>
        </w:rPr>
        <w:t xml:space="preserve">Con fecha </w:t>
      </w:r>
      <w:r w:rsidR="00021CD4" w:rsidRPr="00435366">
        <w:rPr>
          <w:rFonts w:ascii="Century Gothic" w:eastAsia="Century Gothic" w:hAnsi="Century Gothic" w:cs="Century Gothic"/>
          <w:b/>
          <w:bCs/>
        </w:rPr>
        <w:t>{{FECHA_NOTIF_SUSPENSION}}</w:t>
      </w:r>
      <w:r w:rsidRPr="00DE3BA9">
        <w:rPr>
          <w:rFonts w:ascii="Century Gothic" w:eastAsia="Century Gothic" w:hAnsi="Century Gothic" w:cs="Century Gothic"/>
        </w:rPr>
        <w:t>,</w:t>
      </w:r>
      <w:r w:rsidRPr="00A555A1">
        <w:rPr>
          <w:rFonts w:ascii="Century Gothic" w:eastAsia="Century Gothic" w:hAnsi="Century Gothic" w:cs="Century Gothic"/>
        </w:rPr>
        <w:t xml:space="preserve"> me percaté materialmente de que mi servicio de telecomunicaciones fue suspendido de manera unilateral y arbitraria, permitiéndome única y exclusivamente realizar llamadas a números de emergencia. Este acto de privación se ejecutó como una represalia directa por mi negativa a ingresar a la "Plataforma de Gestión de Líneas" </w:t>
      </w:r>
      <w:r w:rsidR="00021CD4" w:rsidRPr="00A555A1">
        <w:rPr>
          <w:rFonts w:ascii="Century Gothic" w:eastAsia="Century Gothic" w:hAnsi="Century Gothic" w:cs="Century Gothic"/>
        </w:rPr>
        <w:t xml:space="preserve">de la concesionaria responsable </w:t>
      </w:r>
      <w:r w:rsidRPr="00A555A1">
        <w:rPr>
          <w:rFonts w:ascii="Century Gothic" w:eastAsia="Century Gothic" w:hAnsi="Century Gothic" w:cs="Century Gothic"/>
        </w:rPr>
        <w:t>para entregar mi identificación oficial, mi Clave Única de Registro de Población (CURP) y someterme a una "Prueba de Vida" que, en los hechos y bajo los términos y condiciones de la concesionaria, recaba datos biométricos faciales</w:t>
      </w:r>
      <w:r w:rsidR="00AB2391" w:rsidRPr="00A555A1">
        <w:rPr>
          <w:rFonts w:ascii="Century Gothic" w:eastAsia="Century Gothic" w:hAnsi="Century Gothic" w:cs="Century Gothic"/>
        </w:rPr>
        <w:t>, dactilares y de voz</w:t>
      </w:r>
      <w:r w:rsidRPr="00A555A1">
        <w:rPr>
          <w:rFonts w:ascii="Century Gothic" w:eastAsia="Century Gothic" w:hAnsi="Century Gothic" w:cs="Century Gothic"/>
        </w:rPr>
        <w:t xml:space="preserve"> mediante algoritmos</w:t>
      </w:r>
      <w:r w:rsidR="00AB2391" w:rsidRPr="00A555A1">
        <w:rPr>
          <w:rFonts w:ascii="Century Gothic" w:eastAsia="Century Gothic" w:hAnsi="Century Gothic" w:cs="Century Gothic"/>
        </w:rPr>
        <w:t xml:space="preserve"> automatizados y/o de</w:t>
      </w:r>
      <w:r w:rsidRPr="00A555A1">
        <w:rPr>
          <w:rFonts w:ascii="Century Gothic" w:eastAsia="Century Gothic" w:hAnsi="Century Gothic" w:cs="Century Gothic"/>
        </w:rPr>
        <w:t xml:space="preserve"> </w:t>
      </w:r>
      <w:r w:rsidR="00AB2391" w:rsidRPr="00A555A1">
        <w:rPr>
          <w:rFonts w:ascii="Century Gothic" w:eastAsia="Century Gothic" w:hAnsi="Century Gothic" w:cs="Century Gothic"/>
        </w:rPr>
        <w:t>I</w:t>
      </w:r>
      <w:r w:rsidRPr="00A555A1">
        <w:rPr>
          <w:rFonts w:ascii="Century Gothic" w:eastAsia="Century Gothic" w:hAnsi="Century Gothic" w:cs="Century Gothic"/>
        </w:rPr>
        <w:t xml:space="preserve">nteligencia </w:t>
      </w:r>
      <w:r w:rsidR="00AB2391" w:rsidRPr="00A555A1">
        <w:rPr>
          <w:rFonts w:ascii="Century Gothic" w:eastAsia="Century Gothic" w:hAnsi="Century Gothic" w:cs="Century Gothic"/>
        </w:rPr>
        <w:t>A</w:t>
      </w:r>
      <w:r w:rsidRPr="00A555A1">
        <w:rPr>
          <w:rFonts w:ascii="Century Gothic" w:eastAsia="Century Gothic" w:hAnsi="Century Gothic" w:cs="Century Gothic"/>
        </w:rPr>
        <w:t>rtificial.</w:t>
      </w:r>
    </w:p>
    <w:p w14:paraId="33A3594E" w14:textId="1949AF60" w:rsidR="00001DF2" w:rsidRDefault="002900B4">
      <w:pPr>
        <w:numPr>
          <w:ilvl w:val="0"/>
          <w:numId w:val="7"/>
        </w:numPr>
        <w:tabs>
          <w:tab w:val="left" w:pos="1985"/>
        </w:tabs>
        <w:spacing w:line="360" w:lineRule="auto"/>
        <w:ind w:left="0" w:firstLine="1560"/>
        <w:jc w:val="both"/>
        <w:rPr>
          <w:rFonts w:ascii="Century Gothic" w:eastAsia="Century Gothic" w:hAnsi="Century Gothic" w:cs="Century Gothic"/>
        </w:rPr>
      </w:pPr>
      <w:r>
        <w:rPr>
          <w:rFonts w:ascii="Century Gothic" w:eastAsia="Century Gothic" w:hAnsi="Century Gothic" w:cs="Century Gothic"/>
        </w:rPr>
        <w:t>El acto de aplicación descrito me causa un perjuicio real, directo, inminente y actual, pues constituye una privación fáctica de mi derecho humano a la privacidad, acceso a las TIC, libertad de expresión e inclusión financiera. Tal actuación se erige en flagrante contravención y desacato al precedente de observancia obligatoria para este H. Juzgado, dictada por el Pleno de la SCJN al resolver el Caso PANAUT, que ya había expulsado del orden jurídico nacional este modelo de vigilancia masiva.</w:t>
      </w:r>
    </w:p>
    <w:p w14:paraId="0D6FB410" w14:textId="53E3C8CC" w:rsidR="00ED45CE" w:rsidRPr="00ED45CE" w:rsidRDefault="00ED45CE" w:rsidP="00ED45CE">
      <w:pPr>
        <w:numPr>
          <w:ilvl w:val="0"/>
          <w:numId w:val="7"/>
        </w:numPr>
        <w:tabs>
          <w:tab w:val="left" w:pos="1985"/>
        </w:tabs>
        <w:spacing w:line="360" w:lineRule="auto"/>
        <w:ind w:left="0" w:firstLine="1560"/>
        <w:jc w:val="both"/>
      </w:pPr>
      <w:r w:rsidRPr="00ED45CE">
        <w:rPr>
          <w:rFonts w:ascii="Century Gothic" w:eastAsia="Century Gothic" w:hAnsi="Century Gothic" w:cs="Century Gothic"/>
        </w:rPr>
        <w:lastRenderedPageBreak/>
        <w:t>{{INICIA_HECHO7}}</w:t>
      </w:r>
      <w:r>
        <w:rPr>
          <w:rFonts w:ascii="Century Gothic" w:eastAsia="Century Gothic" w:hAnsi="Century Gothic" w:cs="Century Gothic"/>
        </w:rPr>
        <w:t xml:space="preserve"> </w:t>
      </w:r>
      <w:r w:rsidR="00501022" w:rsidRPr="00A555A1">
        <w:rPr>
          <w:rFonts w:ascii="Century Gothic" w:eastAsia="Century Gothic" w:hAnsi="Century Gothic" w:cs="Century Gothic"/>
        </w:rPr>
        <w:t xml:space="preserve">De igual forma, la línea telefónica móvil suspendida, con terminación </w:t>
      </w:r>
      <w:r w:rsidR="00E309B9" w:rsidRPr="00435366">
        <w:rPr>
          <w:rFonts w:ascii="Century Gothic" w:eastAsia="Century Gothic" w:hAnsi="Century Gothic" w:cs="Century Gothic"/>
          <w:b/>
        </w:rPr>
        <w:t>{{</w:t>
      </w:r>
      <w:r w:rsidR="00501022" w:rsidRPr="00435366">
        <w:rPr>
          <w:rFonts w:ascii="Century Gothic" w:eastAsia="Century Gothic" w:hAnsi="Century Gothic" w:cs="Century Gothic"/>
          <w:b/>
        </w:rPr>
        <w:t>NUMERO_TELEFONO</w:t>
      </w:r>
      <w:r w:rsidR="00E309B9" w:rsidRPr="00435366">
        <w:rPr>
          <w:rFonts w:ascii="Century Gothic" w:eastAsia="Century Gothic" w:hAnsi="Century Gothic" w:cs="Century Gothic"/>
          <w:b/>
        </w:rPr>
        <w:t>}}</w:t>
      </w:r>
      <w:r w:rsidR="00501022" w:rsidRPr="00A555A1">
        <w:rPr>
          <w:rFonts w:ascii="Century Gothic" w:eastAsia="Century Gothic" w:hAnsi="Century Gothic" w:cs="Century Gothic"/>
        </w:rPr>
        <w:t xml:space="preserve">, se encuentra indisolublemente vinculada a mis cuentas bancarias y de crédito del </w:t>
      </w:r>
      <w:r w:rsidR="00391B42">
        <w:rPr>
          <w:rFonts w:ascii="Century Gothic" w:eastAsia="Century Gothic" w:hAnsi="Century Gothic" w:cs="Century Gothic"/>
        </w:rPr>
        <w:t xml:space="preserve">banco </w:t>
      </w:r>
      <w:r w:rsidR="00E309B9" w:rsidRPr="00435366">
        <w:rPr>
          <w:rFonts w:ascii="Century Gothic" w:eastAsia="Century Gothic" w:hAnsi="Century Gothic" w:cs="Century Gothic"/>
          <w:b/>
        </w:rPr>
        <w:t>{{</w:t>
      </w:r>
      <w:r w:rsidR="00501022" w:rsidRPr="00435366">
        <w:rPr>
          <w:rFonts w:ascii="Century Gothic" w:eastAsia="Century Gothic" w:hAnsi="Century Gothic" w:cs="Century Gothic"/>
          <w:b/>
        </w:rPr>
        <w:t>BANCO</w:t>
      </w:r>
      <w:r w:rsidR="00E309B9" w:rsidRPr="00435366">
        <w:rPr>
          <w:rFonts w:ascii="Century Gothic" w:eastAsia="Century Gothic" w:hAnsi="Century Gothic" w:cs="Century Gothic"/>
          <w:b/>
        </w:rPr>
        <w:t>}}</w:t>
      </w:r>
      <w:r w:rsidR="00F361A0">
        <w:rPr>
          <w:rFonts w:ascii="Century Gothic" w:eastAsia="Century Gothic" w:hAnsi="Century Gothic" w:cs="Century Gothic"/>
          <w:b/>
        </w:rPr>
        <w:t xml:space="preserve"> </w:t>
      </w:r>
      <w:r w:rsidR="00F361A0">
        <w:rPr>
          <w:rFonts w:ascii="Century Gothic" w:eastAsia="Century Gothic" w:hAnsi="Century Gothic" w:cs="Century Gothic"/>
          <w:bCs/>
        </w:rPr>
        <w:t xml:space="preserve">con un nivel de cuenta </w:t>
      </w:r>
      <w:r w:rsidR="00F361A0" w:rsidRPr="00F361A0">
        <w:rPr>
          <w:rFonts w:ascii="Century Gothic" w:eastAsia="Century Gothic" w:hAnsi="Century Gothic" w:cs="Century Gothic"/>
          <w:b/>
        </w:rPr>
        <w:t>{{TIPO_CUENTA}}</w:t>
      </w:r>
      <w:r w:rsidR="00501022" w:rsidRPr="00A555A1">
        <w:rPr>
          <w:rFonts w:ascii="Century Gothic" w:eastAsia="Century Gothic" w:hAnsi="Century Gothic" w:cs="Century Gothic"/>
        </w:rPr>
        <w:t>. Dicho número funge como mi dispositivo de acceso registrado para la banca móvil, constituyendo el medio oficial, normativo e indispensable mediante el cual realizo operaciones, contrataciones, recibo notificaciones y atención de la banca para la prevención de fraudes bancarios.</w:t>
      </w:r>
      <w:r w:rsidR="00C633A7" w:rsidRPr="00C633A7">
        <w:t xml:space="preserve"> </w:t>
      </w:r>
      <w:r w:rsidRPr="00ED45CE">
        <w:t>{{TERMINA_HECHO7}}</w:t>
      </w:r>
    </w:p>
    <w:p w14:paraId="7BD65F0F" w14:textId="77777777" w:rsidR="00136838" w:rsidRPr="00A555A1" w:rsidRDefault="00136838" w:rsidP="00136838">
      <w:pPr>
        <w:tabs>
          <w:tab w:val="left" w:pos="1985"/>
        </w:tabs>
        <w:spacing w:line="360" w:lineRule="auto"/>
        <w:ind w:left="1560"/>
        <w:jc w:val="both"/>
        <w:rPr>
          <w:rFonts w:ascii="Century Gothic" w:eastAsia="Century Gothic" w:hAnsi="Century Gothic" w:cs="Century Gothic"/>
        </w:rPr>
      </w:pPr>
    </w:p>
    <w:p w14:paraId="2136411E"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b/>
          <w:bCs/>
        </w:rPr>
        <w:t>VI. DERECHOS HUMANOS VIOLADOS.</w:t>
      </w:r>
      <w:r w:rsidRPr="00A555A1">
        <w:rPr>
          <w:rFonts w:ascii="Century Gothic" w:eastAsia="Century Gothic" w:hAnsi="Century Gothic" w:cs="Century Gothic"/>
        </w:rPr>
        <w:t xml:space="preserve"> Se estiman violados en mi perjuicio los siguientes derechos humanos:</w:t>
      </w:r>
    </w:p>
    <w:p w14:paraId="396CEA20" w14:textId="4DD53744"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b/>
          <w:bCs/>
        </w:rPr>
        <w:t xml:space="preserve">a) </w:t>
      </w:r>
      <w:r w:rsidR="00BC54D1">
        <w:rPr>
          <w:rFonts w:ascii="Century Gothic" w:eastAsia="Century Gothic" w:hAnsi="Century Gothic" w:cs="Century Gothic"/>
          <w:b/>
          <w:bCs/>
        </w:rPr>
        <w:t>Derecho a la privacidad, a la intimidad y a la protección de datos personales</w:t>
      </w:r>
      <w:r w:rsidRPr="00A555A1">
        <w:rPr>
          <w:rFonts w:ascii="Century Gothic" w:eastAsia="Century Gothic" w:hAnsi="Century Gothic" w:cs="Century Gothic"/>
        </w:rPr>
        <w:t>, contenidos en los artículos 6º y 16 de la CPEUM; 11 de la CADH; 17 del Pacto Internacional de Derechos Civiles y Políticos (en adelante, PIDCP); y 12 de la Declaración Universal de Derechos Humanos (en adelante, DUDH).</w:t>
      </w:r>
    </w:p>
    <w:p w14:paraId="225E9961"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b/>
          <w:bCs/>
        </w:rPr>
        <w:t xml:space="preserve">b) Derecho a la libertad de expresión, derecho a la información, acceso a las TIC, y el derecho al anonimato democrático, </w:t>
      </w:r>
      <w:r w:rsidRPr="00A555A1">
        <w:rPr>
          <w:rFonts w:ascii="Century Gothic" w:eastAsia="Century Gothic" w:hAnsi="Century Gothic" w:cs="Century Gothic"/>
        </w:rPr>
        <w:t>contenidos en los artículos 6 y 7 de la CPEUM; y 13 de la CADH; 19 del PIDCP; y 19 de la DUDH</w:t>
      </w:r>
    </w:p>
    <w:p w14:paraId="222EEA38"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b/>
          <w:bCs/>
        </w:rPr>
        <w:t>c) Principio de presunción de inocencia en su vertiente extraprocesal, principio de legalidad, seguridad jurídica y debida motivación legislativa</w:t>
      </w:r>
      <w:r w:rsidRPr="00A555A1">
        <w:rPr>
          <w:rFonts w:ascii="Century Gothic" w:eastAsia="Century Gothic" w:hAnsi="Century Gothic" w:cs="Century Gothic"/>
        </w:rPr>
        <w:t>, contenidos en los artículos 14, 16 y 20, apartado B, fracción I de la CPEUM; y 8.2 de la CADH.</w:t>
      </w:r>
    </w:p>
    <w:p w14:paraId="7CDC20DC"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b/>
          <w:bCs/>
        </w:rPr>
        <w:t>d) Derecho humano al acceso al crédito y a la inclusión financiera, bajo el principio de progresividad y prohibición de regresividad</w:t>
      </w:r>
      <w:r w:rsidRPr="00A555A1">
        <w:rPr>
          <w:rFonts w:ascii="Century Gothic" w:eastAsia="Century Gothic" w:hAnsi="Century Gothic" w:cs="Century Gothic"/>
        </w:rPr>
        <w:t>, artículo 1o. de la CPEUM.</w:t>
      </w:r>
    </w:p>
    <w:p w14:paraId="23E592CE" w14:textId="77777777" w:rsidR="00001DF2" w:rsidRPr="00A555A1" w:rsidRDefault="00001DF2">
      <w:pPr>
        <w:spacing w:line="360" w:lineRule="auto"/>
        <w:ind w:firstLine="1418"/>
        <w:jc w:val="both"/>
        <w:rPr>
          <w:rFonts w:ascii="Century Gothic" w:eastAsia="Century Gothic" w:hAnsi="Century Gothic" w:cs="Century Gothic"/>
        </w:rPr>
      </w:pPr>
    </w:p>
    <w:p w14:paraId="393DBE7B"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b/>
          <w:bCs/>
        </w:rPr>
        <w:t xml:space="preserve">VII. CONCEPTOS DE VIOLACIÓN. </w:t>
      </w:r>
      <w:r w:rsidRPr="00A555A1">
        <w:rPr>
          <w:rFonts w:ascii="Century Gothic" w:eastAsia="Century Gothic" w:hAnsi="Century Gothic" w:cs="Century Gothic"/>
        </w:rPr>
        <w:t>Se hacen valer, contra el acto reclamado, los siguientes conceptos de violación:</w:t>
      </w:r>
    </w:p>
    <w:p w14:paraId="60B7F5D4" w14:textId="7BD355BA" w:rsidR="00001DF2" w:rsidRPr="00A555A1" w:rsidRDefault="00000000">
      <w:pPr>
        <w:spacing w:line="360" w:lineRule="auto"/>
        <w:jc w:val="both"/>
        <w:rPr>
          <w:rFonts w:ascii="Century Gothic" w:eastAsia="Century Gothic" w:hAnsi="Century Gothic" w:cs="Century Gothic"/>
          <w:b/>
          <w:bCs/>
        </w:rPr>
      </w:pPr>
      <w:r w:rsidRPr="00A555A1">
        <w:rPr>
          <w:rFonts w:ascii="Century Gothic" w:eastAsia="Century Gothic" w:hAnsi="Century Gothic" w:cs="Century Gothic"/>
          <w:b/>
          <w:bCs/>
        </w:rPr>
        <w:t xml:space="preserve">PRIMERO.- EL TRATAMIENTO OBLIGATORIO DE DATOS PERSONALES SENSIBLES PARA LA INSTALACIÓN Y OPERACIÓN PARA LA </w:t>
      </w:r>
      <w:r w:rsidR="00E8315A" w:rsidRPr="00A555A1">
        <w:rPr>
          <w:rFonts w:ascii="Century Gothic" w:eastAsia="Century Gothic" w:hAnsi="Century Gothic" w:cs="Century Gothic"/>
          <w:b/>
          <w:bCs/>
        </w:rPr>
        <w:t>IDENTIFICACIÓN</w:t>
      </w:r>
      <w:r w:rsidRPr="00A555A1">
        <w:rPr>
          <w:rFonts w:ascii="Century Gothic" w:eastAsia="Century Gothic" w:hAnsi="Century Gothic" w:cs="Century Gothic"/>
          <w:b/>
          <w:bCs/>
        </w:rPr>
        <w:t xml:space="preserve"> DE LÍNEAS TELEFÓNICAS MÓVILES INTERFIERE CON EL DERECHO A LA PRIVACIDAD Y A LA PROTECCIÓN DE DATOS PERSONALES SIN CUMPLIR CON LOS REQUISITOS DE </w:t>
      </w:r>
      <w:r w:rsidRPr="00A555A1">
        <w:rPr>
          <w:rFonts w:ascii="Century Gothic" w:eastAsia="Century Gothic" w:hAnsi="Century Gothic" w:cs="Century Gothic"/>
          <w:b/>
          <w:bCs/>
        </w:rPr>
        <w:lastRenderedPageBreak/>
        <w:t>LEGALIDAD, IDONEIDAD, NECESIDAD Y PROPORCIONALIDAD POR LO QUE VIOLA LOS ARTÍCULOS 6, 14 Y 16 DE LA CPEUM, 11 DE LA CADH Y 17 DEL PIDCP.</w:t>
      </w:r>
    </w:p>
    <w:p w14:paraId="0C5EA5A1"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El Decreto (Artículos 103 y 164, fracción III) y Lineamientos que contiene las normas combatidas establece, en términos generales, la obligación de distintas concesionarias de telefonía móvil, entre ellas la responsable, de instalar, operar, regular y mantener un padrón de usuarios de telefonía móvil, con la finalidad de recabar, entre otros datos personales, lo siguiente: </w:t>
      </w:r>
    </w:p>
    <w:p w14:paraId="16B65ACE" w14:textId="77777777" w:rsidR="00ED6C5E" w:rsidRPr="00A555A1" w:rsidRDefault="00000000" w:rsidP="00ED6C5E">
      <w:pPr>
        <w:numPr>
          <w:ilvl w:val="0"/>
          <w:numId w:val="11"/>
        </w:numPr>
        <w:pBdr>
          <w:top w:val="nil"/>
          <w:left w:val="nil"/>
          <w:bottom w:val="nil"/>
          <w:right w:val="nil"/>
          <w:between w:val="nil"/>
        </w:pBdr>
        <w:tabs>
          <w:tab w:val="left" w:pos="1985"/>
        </w:tabs>
        <w:spacing w:after="0" w:line="360" w:lineRule="auto"/>
        <w:ind w:left="0" w:firstLine="1418"/>
        <w:jc w:val="both"/>
        <w:rPr>
          <w:rFonts w:ascii="Century Gothic" w:eastAsia="Century Gothic" w:hAnsi="Century Gothic" w:cs="Century Gothic"/>
          <w:color w:val="000000"/>
        </w:rPr>
      </w:pPr>
      <w:r w:rsidRPr="00A555A1">
        <w:rPr>
          <w:rFonts w:ascii="Century Gothic" w:eastAsia="Century Gothic" w:hAnsi="Century Gothic" w:cs="Century Gothic"/>
          <w:color w:val="000000"/>
        </w:rPr>
        <w:t xml:space="preserve">Según el artículo 7, fracción XIV y 17 de los Lineamientos (para personas físicas nacionales): </w:t>
      </w:r>
      <w:r w:rsidRPr="00A555A1">
        <w:rPr>
          <w:rFonts w:ascii="Century Gothic" w:eastAsia="Century Gothic" w:hAnsi="Century Gothic" w:cs="Century Gothic"/>
          <w:b/>
          <w:bCs/>
          <w:color w:val="000000"/>
        </w:rPr>
        <w:t>nombre completo</w:t>
      </w:r>
      <w:r w:rsidRPr="00A555A1">
        <w:rPr>
          <w:rFonts w:ascii="Century Gothic" w:eastAsia="Century Gothic" w:hAnsi="Century Gothic" w:cs="Century Gothic"/>
          <w:color w:val="000000"/>
        </w:rPr>
        <w:t>;</w:t>
      </w:r>
      <w:r w:rsidRPr="00A555A1">
        <w:rPr>
          <w:rFonts w:ascii="Century Gothic" w:eastAsia="Century Gothic" w:hAnsi="Century Gothic" w:cs="Century Gothic"/>
          <w:b/>
          <w:bCs/>
          <w:color w:val="000000"/>
        </w:rPr>
        <w:t xml:space="preserve"> CURP</w:t>
      </w:r>
      <w:r w:rsidRPr="00A555A1">
        <w:rPr>
          <w:rFonts w:ascii="Century Gothic" w:eastAsia="Century Gothic" w:hAnsi="Century Gothic" w:cs="Century Gothic"/>
          <w:color w:val="000000"/>
        </w:rPr>
        <w:t xml:space="preserve"> (Clave Única de Registro de Población); </w:t>
      </w:r>
      <w:r w:rsidRPr="00A555A1">
        <w:rPr>
          <w:rFonts w:ascii="Century Gothic" w:eastAsia="Century Gothic" w:hAnsi="Century Gothic" w:cs="Century Gothic"/>
          <w:b/>
          <w:bCs/>
          <w:color w:val="000000"/>
        </w:rPr>
        <w:t>Identificación Oficial vigente</w:t>
      </w:r>
      <w:r w:rsidRPr="00A555A1">
        <w:rPr>
          <w:rFonts w:ascii="Century Gothic" w:eastAsia="Century Gothic" w:hAnsi="Century Gothic" w:cs="Century Gothic"/>
          <w:color w:val="000000"/>
        </w:rPr>
        <w:t xml:space="preserve"> (Credencial del INE, Pasaporte o Documento Nacional de Identificación); </w:t>
      </w:r>
      <w:r w:rsidRPr="00A555A1">
        <w:rPr>
          <w:rFonts w:ascii="Century Gothic" w:eastAsia="Century Gothic" w:hAnsi="Century Gothic" w:cs="Century Gothic"/>
          <w:b/>
          <w:bCs/>
          <w:color w:val="000000"/>
        </w:rPr>
        <w:t>Número telefónico asociado.</w:t>
      </w:r>
    </w:p>
    <w:p w14:paraId="3845B61D" w14:textId="783EA2DA" w:rsidR="00ED6C5E" w:rsidRPr="00A555A1" w:rsidRDefault="00000000" w:rsidP="00ED6C5E">
      <w:pPr>
        <w:numPr>
          <w:ilvl w:val="0"/>
          <w:numId w:val="11"/>
        </w:numPr>
        <w:pBdr>
          <w:top w:val="nil"/>
          <w:left w:val="nil"/>
          <w:bottom w:val="nil"/>
          <w:right w:val="nil"/>
          <w:between w:val="nil"/>
        </w:pBdr>
        <w:tabs>
          <w:tab w:val="left" w:pos="1985"/>
        </w:tabs>
        <w:spacing w:after="0" w:line="360" w:lineRule="auto"/>
        <w:ind w:left="0" w:firstLine="1418"/>
        <w:jc w:val="both"/>
        <w:rPr>
          <w:rFonts w:ascii="Century Gothic" w:eastAsia="Century Gothic" w:hAnsi="Century Gothic" w:cs="Century Gothic"/>
          <w:color w:val="000000"/>
        </w:rPr>
      </w:pPr>
      <w:r w:rsidRPr="00A555A1">
        <w:rPr>
          <w:rFonts w:ascii="Century Gothic" w:eastAsia="Century Gothic" w:hAnsi="Century Gothic" w:cs="Century Gothic"/>
          <w:color w:val="000000"/>
        </w:rPr>
        <w:t xml:space="preserve">Si el trámite se hace vía remota, según el artículo 24 de los Lineamientos, la plataforma pedirá </w:t>
      </w:r>
      <w:r w:rsidRPr="00A555A1">
        <w:rPr>
          <w:rFonts w:ascii="Century Gothic" w:eastAsia="Century Gothic" w:hAnsi="Century Gothic" w:cs="Century Gothic"/>
          <w:b/>
          <w:bCs/>
          <w:color w:val="000000"/>
        </w:rPr>
        <w:t>capturar la identificación oficial y realizar una "Prueba de Vida"</w:t>
      </w:r>
      <w:r w:rsidRPr="00A555A1">
        <w:rPr>
          <w:rFonts w:ascii="Century Gothic" w:eastAsia="Century Gothic" w:hAnsi="Century Gothic" w:cs="Century Gothic"/>
          <w:color w:val="000000"/>
        </w:rPr>
        <w:t xml:space="preserve"> (lo que implica validación biométrica/facial para comprobar que la persona coincide con la identificación</w:t>
      </w:r>
      <w:r w:rsidR="003830A0">
        <w:rPr>
          <w:rFonts w:ascii="Century Gothic" w:eastAsia="Century Gothic" w:hAnsi="Century Gothic" w:cs="Century Gothic"/>
          <w:color w:val="000000"/>
        </w:rPr>
        <w:t>)</w:t>
      </w:r>
      <w:r w:rsidRPr="00A555A1">
        <w:rPr>
          <w:rFonts w:ascii="Century Gothic" w:eastAsia="Century Gothic" w:hAnsi="Century Gothic" w:cs="Century Gothic"/>
          <w:color w:val="000000"/>
        </w:rPr>
        <w:t>.</w:t>
      </w:r>
    </w:p>
    <w:p w14:paraId="045E927F" w14:textId="1705100E" w:rsidR="00001DF2" w:rsidRPr="00A555A1" w:rsidRDefault="00000000" w:rsidP="00ED6C5E">
      <w:pPr>
        <w:numPr>
          <w:ilvl w:val="0"/>
          <w:numId w:val="11"/>
        </w:numPr>
        <w:pBdr>
          <w:top w:val="nil"/>
          <w:left w:val="nil"/>
          <w:bottom w:val="nil"/>
          <w:right w:val="nil"/>
          <w:between w:val="nil"/>
        </w:pBdr>
        <w:tabs>
          <w:tab w:val="left" w:pos="1985"/>
        </w:tabs>
        <w:spacing w:after="0" w:line="360" w:lineRule="auto"/>
        <w:ind w:left="0" w:firstLine="1418"/>
        <w:jc w:val="both"/>
        <w:rPr>
          <w:rFonts w:ascii="Century Gothic" w:eastAsia="Century Gothic" w:hAnsi="Century Gothic" w:cs="Century Gothic"/>
          <w:color w:val="000000"/>
        </w:rPr>
      </w:pPr>
      <w:r w:rsidRPr="00A555A1">
        <w:rPr>
          <w:rFonts w:ascii="Century Gothic" w:eastAsia="Century Gothic" w:hAnsi="Century Gothic" w:cs="Century Gothic"/>
          <w:color w:val="000000"/>
        </w:rPr>
        <w:t xml:space="preserve">Excepcionalmente, según el artículo 10 de los Lineamientos, </w:t>
      </w:r>
      <w:r w:rsidRPr="00A555A1">
        <w:rPr>
          <w:rFonts w:ascii="Century Gothic" w:eastAsia="Century Gothic" w:hAnsi="Century Gothic" w:cs="Century Gothic"/>
          <w:b/>
          <w:bCs/>
          <w:color w:val="000000"/>
        </w:rPr>
        <w:t>constancia de situación fiscal</w:t>
      </w:r>
      <w:r w:rsidRPr="00A555A1">
        <w:rPr>
          <w:rFonts w:ascii="Century Gothic" w:eastAsia="Century Gothic" w:hAnsi="Century Gothic" w:cs="Century Gothic"/>
          <w:color w:val="000000"/>
        </w:rPr>
        <w:t xml:space="preserve">, si la persona física tiene actividad empresarial, y es necesario registrar más de 10 líneas. </w:t>
      </w:r>
    </w:p>
    <w:p w14:paraId="65AA17FB" w14:textId="77777777" w:rsidR="00EA6A6A" w:rsidRPr="00A555A1" w:rsidRDefault="00000000" w:rsidP="00EA6A6A">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Las normas combatidas establecen que la negativa por parte de las personas usuarias al tratamiento obligatorio de los datos personales enlistados, misma que incluye datos personales sensibles, produce como consecuencia la imposibilidad de acceder al servicio de telefonía móvil y solamente se podrá realizar llamadas a números de emergencia y de atención ciudadana</w:t>
      </w:r>
      <w:r w:rsidR="00ED6C5E" w:rsidRPr="00A555A1">
        <w:rPr>
          <w:rFonts w:ascii="Century Gothic" w:eastAsia="Century Gothic" w:hAnsi="Century Gothic" w:cs="Century Gothic"/>
        </w:rPr>
        <w:t xml:space="preserve">, lo cual se observa en el CONSIDERANDO de los Lineamientos y </w:t>
      </w:r>
      <w:r w:rsidR="00EA6A6A" w:rsidRPr="00A555A1">
        <w:rPr>
          <w:rFonts w:ascii="Century Gothic" w:eastAsia="Century Gothic" w:hAnsi="Century Gothic" w:cs="Century Gothic"/>
        </w:rPr>
        <w:t>TRANSITORIOS, publicados en el D.O.F. el día 9 de diciembre de 2025 y 30 de junio de 2026</w:t>
      </w:r>
      <w:r w:rsidR="00ED6C5E" w:rsidRPr="00A555A1">
        <w:rPr>
          <w:rStyle w:val="Refdenotaalpie"/>
          <w:rFonts w:ascii="Century Gothic" w:eastAsia="Century Gothic" w:hAnsi="Century Gothic" w:cs="Century Gothic"/>
        </w:rPr>
        <w:footnoteReference w:id="16"/>
      </w:r>
      <w:r w:rsidR="00EA6A6A" w:rsidRPr="00A555A1">
        <w:rPr>
          <w:rFonts w:ascii="Century Gothic" w:eastAsia="Century Gothic" w:hAnsi="Century Gothic" w:cs="Century Gothic"/>
        </w:rPr>
        <w:t>.</w:t>
      </w:r>
    </w:p>
    <w:p w14:paraId="56F6E68C" w14:textId="041CF330" w:rsidR="00001DF2" w:rsidRPr="00A555A1" w:rsidRDefault="00000000" w:rsidP="00EA6A6A">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lastRenderedPageBreak/>
        <w:t xml:space="preserve">Adicionalmente, el artículo 183 de la LMTR que se combate establece que las concesionarias, entre ellas la responsable, </w:t>
      </w:r>
      <w:r w:rsidRPr="00A555A1">
        <w:rPr>
          <w:rFonts w:ascii="Century Gothic" w:eastAsia="Century Gothic" w:hAnsi="Century Gothic" w:cs="Century Gothic"/>
          <w:b/>
          <w:bCs/>
        </w:rPr>
        <w:t xml:space="preserve">deberán colaborar </w:t>
      </w:r>
      <w:r w:rsidRPr="00A555A1">
        <w:rPr>
          <w:rFonts w:ascii="Century Gothic" w:eastAsia="Century Gothic" w:hAnsi="Century Gothic" w:cs="Century Gothic"/>
        </w:rPr>
        <w:t>con las autoridades de seguridad, procuración y administración de justicia para entregar la información contenida en sus registros sin establecer salvaguardas como el control judicial.</w:t>
      </w:r>
    </w:p>
    <w:p w14:paraId="58F76086"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De esta manera, esta parte quejosa considera que el tratamiento obligatorio de datos personales, incluyendo datos personales sensibles como la “prueba de vida” vulnera los derechos a la privacidad y a la protección de datos personales como será demostrado a continuación.</w:t>
      </w:r>
    </w:p>
    <w:p w14:paraId="253EE274"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Previo al desarrollo de las violaciones específicas, resulta indispensable desarrollar el contenido esencial del derecho a la privacidad y protección de datos personales, de manera que exista claridad respecto del parámetro de regularidad constitucional que debe aplicarse en el presente caso.</w:t>
      </w:r>
    </w:p>
    <w:p w14:paraId="78823396" w14:textId="77777777" w:rsidR="00001DF2" w:rsidRPr="00A555A1" w:rsidRDefault="00000000" w:rsidP="00136838">
      <w:pPr>
        <w:numPr>
          <w:ilvl w:val="0"/>
          <w:numId w:val="2"/>
        </w:numPr>
        <w:pBdr>
          <w:top w:val="nil"/>
          <w:left w:val="nil"/>
          <w:bottom w:val="nil"/>
          <w:right w:val="nil"/>
          <w:between w:val="nil"/>
        </w:pBdr>
        <w:tabs>
          <w:tab w:val="left" w:pos="567"/>
        </w:tabs>
        <w:spacing w:line="360" w:lineRule="auto"/>
        <w:ind w:left="0" w:firstLine="0"/>
        <w:jc w:val="center"/>
        <w:rPr>
          <w:rFonts w:ascii="Century Gothic" w:eastAsia="Century Gothic" w:hAnsi="Century Gothic" w:cs="Century Gothic"/>
          <w:b/>
          <w:bCs/>
          <w:color w:val="000000"/>
        </w:rPr>
      </w:pPr>
      <w:r w:rsidRPr="00A555A1">
        <w:rPr>
          <w:rFonts w:ascii="Century Gothic" w:eastAsia="Century Gothic" w:hAnsi="Century Gothic" w:cs="Century Gothic"/>
          <w:b/>
          <w:bCs/>
          <w:color w:val="000000"/>
        </w:rPr>
        <w:t>CONTENIDO DEL DERECHO A LA PRIVACIDAD Y LA PROTECCIÓN DE DATOS PERSONALES.</w:t>
      </w:r>
    </w:p>
    <w:p w14:paraId="3601EB38"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El derecho a la privacidad y a la protección de datos personales se encuentra reconocido en los artículos</w:t>
      </w:r>
      <w:r w:rsidRPr="00A555A1">
        <w:rPr>
          <w:rFonts w:ascii="Century Gothic" w:eastAsia="Century Gothic" w:hAnsi="Century Gothic" w:cs="Century Gothic"/>
          <w:b/>
          <w:bCs/>
        </w:rPr>
        <w:t xml:space="preserve"> 6 y 16 de la CPEUM</w:t>
      </w:r>
      <w:r w:rsidRPr="00A555A1">
        <w:rPr>
          <w:rFonts w:ascii="Century Gothic" w:eastAsia="Century Gothic" w:hAnsi="Century Gothic" w:cs="Century Gothic"/>
        </w:rPr>
        <w:t xml:space="preserve">, así como por diversos instrumentos internacionales de los que México es parte, como el artículo </w:t>
      </w:r>
      <w:r w:rsidRPr="00A555A1">
        <w:rPr>
          <w:rFonts w:ascii="Century Gothic" w:eastAsia="Century Gothic" w:hAnsi="Century Gothic" w:cs="Century Gothic"/>
          <w:b/>
          <w:bCs/>
        </w:rPr>
        <w:t>11 de la CADH</w:t>
      </w:r>
      <w:r w:rsidRPr="00A555A1">
        <w:rPr>
          <w:rFonts w:ascii="Century Gothic" w:eastAsia="Century Gothic" w:hAnsi="Century Gothic" w:cs="Century Gothic"/>
        </w:rPr>
        <w:t xml:space="preserve"> y </w:t>
      </w:r>
      <w:r w:rsidRPr="00A555A1">
        <w:rPr>
          <w:rFonts w:ascii="Century Gothic" w:eastAsia="Century Gothic" w:hAnsi="Century Gothic" w:cs="Century Gothic"/>
          <w:b/>
          <w:bCs/>
        </w:rPr>
        <w:t>17 del PIDCP</w:t>
      </w:r>
      <w:r w:rsidRPr="00A555A1">
        <w:rPr>
          <w:rFonts w:ascii="Century Gothic" w:eastAsia="Century Gothic" w:hAnsi="Century Gothic" w:cs="Century Gothic"/>
        </w:rPr>
        <w:t>.</w:t>
      </w:r>
    </w:p>
    <w:p w14:paraId="02A98236" w14:textId="0CBC0380"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 Al interpretar el artículo 11 de la CADH que prohíbe toda injerencia arbitraria o abusiva en la vida privada de las personas, la Corte</w:t>
      </w:r>
      <w:r w:rsidR="00DF1191" w:rsidRPr="00A555A1">
        <w:rPr>
          <w:rFonts w:ascii="Century Gothic" w:eastAsia="Century Gothic" w:hAnsi="Century Gothic" w:cs="Century Gothic"/>
        </w:rPr>
        <w:t xml:space="preserve"> Interamericana de Derechos Humanos (en adelante, Corte</w:t>
      </w:r>
      <w:r w:rsidRPr="00A555A1">
        <w:rPr>
          <w:rFonts w:ascii="Century Gothic" w:eastAsia="Century Gothic" w:hAnsi="Century Gothic" w:cs="Century Gothic"/>
        </w:rPr>
        <w:t xml:space="preserve"> IDH</w:t>
      </w:r>
      <w:r w:rsidR="00DF1191" w:rsidRPr="00A555A1">
        <w:rPr>
          <w:rFonts w:ascii="Century Gothic" w:eastAsia="Century Gothic" w:hAnsi="Century Gothic" w:cs="Century Gothic"/>
        </w:rPr>
        <w:t>)</w:t>
      </w:r>
      <w:r w:rsidRPr="00A555A1">
        <w:rPr>
          <w:rFonts w:ascii="Century Gothic" w:eastAsia="Century Gothic" w:hAnsi="Century Gothic" w:cs="Century Gothic"/>
        </w:rPr>
        <w:t xml:space="preserve"> ha interpretado a la vida privada como </w:t>
      </w:r>
      <w:r w:rsidRPr="00A555A1">
        <w:rPr>
          <w:rFonts w:ascii="Century Gothic" w:eastAsia="Century Gothic" w:hAnsi="Century Gothic" w:cs="Century Gothic"/>
          <w:i/>
          <w:iCs/>
        </w:rPr>
        <w:t xml:space="preserve">“un concepto amplio que no es susceptible de definiciones exhaustivas y comprende, entre otros ámbitos protegidos, la vida sexual y el derecho a establecer y desarrollar relaciones </w:t>
      </w:r>
      <w:r w:rsidRPr="00A555A1">
        <w:rPr>
          <w:rFonts w:ascii="Century Gothic" w:eastAsia="Century Gothic" w:hAnsi="Century Gothic" w:cs="Century Gothic"/>
          <w:i/>
          <w:iCs/>
        </w:rPr>
        <w:lastRenderedPageBreak/>
        <w:t>con otros seres humanos. Es decir, la vida privada incluye la forma en que el individuo se ve a sí mismo y cómo y cuándo decide proyectar a los demás”</w:t>
      </w:r>
      <w:r w:rsidRPr="00A555A1">
        <w:rPr>
          <w:rFonts w:ascii="Century Gothic" w:eastAsia="Century Gothic" w:hAnsi="Century Gothic" w:cs="Century Gothic"/>
          <w:vertAlign w:val="superscript"/>
        </w:rPr>
        <w:footnoteReference w:id="17"/>
      </w:r>
      <w:r w:rsidRPr="00A555A1">
        <w:rPr>
          <w:rFonts w:ascii="Century Gothic" w:eastAsia="Century Gothic" w:hAnsi="Century Gothic" w:cs="Century Gothic"/>
        </w:rPr>
        <w:t>.</w:t>
      </w:r>
    </w:p>
    <w:p w14:paraId="3BF5144E"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Asimismo, la Corte IDH también ha sostenido que </w:t>
      </w:r>
      <w:r w:rsidRPr="00A555A1">
        <w:rPr>
          <w:rFonts w:ascii="Century Gothic" w:eastAsia="Century Gothic" w:hAnsi="Century Gothic" w:cs="Century Gothic"/>
          <w:i/>
          <w:iCs/>
        </w:rPr>
        <w:t>“el ámbito de la privacidad se caracteriza por quedar exento e inmune a las invasiones o agresiones abusivas o arbitrarias por parte de terceros o de la autoridad pública”</w:t>
      </w:r>
      <w:r w:rsidRPr="00A555A1">
        <w:rPr>
          <w:rFonts w:ascii="Century Gothic" w:eastAsia="Century Gothic" w:hAnsi="Century Gothic" w:cs="Century Gothic"/>
          <w:vertAlign w:val="superscript"/>
        </w:rPr>
        <w:footnoteReference w:id="18"/>
      </w:r>
      <w:r w:rsidRPr="00A555A1">
        <w:rPr>
          <w:rFonts w:ascii="Century Gothic" w:eastAsia="Century Gothic" w:hAnsi="Century Gothic" w:cs="Century Gothic"/>
        </w:rPr>
        <w:t xml:space="preserve">. Además, ha interpretado que </w:t>
      </w:r>
      <w:r w:rsidRPr="00A555A1">
        <w:rPr>
          <w:rFonts w:ascii="Century Gothic" w:eastAsia="Century Gothic" w:hAnsi="Century Gothic" w:cs="Century Gothic"/>
          <w:i/>
          <w:iCs/>
        </w:rPr>
        <w:t>“la fluidez informativa que existe hoy en día coloca al derecho a la vida privada de las personas en una situación de mayor riesgo debido a las nuevas herramientas tecnológicas y su utilización cada vez más frecuente. Este progreso (...) no significa que las personas deban quedar en una situación de vulnerabilidad frente al Estado o a los particulares. De allí que el Estado debe asumir un compromiso, aún mayor, con el fin de adecuar a los tiempos actuales las fórmulas tradicionales de protección del derecho a la vida privada”</w:t>
      </w:r>
      <w:r w:rsidRPr="00A555A1">
        <w:rPr>
          <w:rFonts w:ascii="Century Gothic" w:eastAsia="Century Gothic" w:hAnsi="Century Gothic" w:cs="Century Gothic"/>
          <w:vertAlign w:val="superscript"/>
        </w:rPr>
        <w:footnoteReference w:id="19"/>
      </w:r>
      <w:r w:rsidRPr="00A555A1">
        <w:rPr>
          <w:rFonts w:ascii="Century Gothic" w:eastAsia="Century Gothic" w:hAnsi="Century Gothic" w:cs="Century Gothic"/>
        </w:rPr>
        <w:t>.</w:t>
      </w:r>
    </w:p>
    <w:p w14:paraId="4418C124"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La SCJN también ha destacado la importancia del derecho a la privacidad, también referido como derecho a la intimidad. En el Amparo en Revisión 884/2018</w:t>
      </w:r>
      <w:r w:rsidRPr="00A555A1">
        <w:rPr>
          <w:rFonts w:ascii="Century Gothic" w:eastAsia="Century Gothic" w:hAnsi="Century Gothic" w:cs="Century Gothic"/>
          <w:vertAlign w:val="superscript"/>
        </w:rPr>
        <w:footnoteReference w:id="20"/>
      </w:r>
      <w:r w:rsidRPr="00A555A1">
        <w:rPr>
          <w:rFonts w:ascii="Century Gothic" w:eastAsia="Century Gothic" w:hAnsi="Century Gothic" w:cs="Century Gothic"/>
        </w:rPr>
        <w:t>, la Primera Sala reconoció por unanimidad que si bien el derecho a la intimidad suele asociarse con aquello que no pertenece a lo público y a lo que, sólo el individuo, y quienes éste admite libremente, puedan tener acceso, lo cierto es que en el estado de derecho social, el derecho a la intimidad se convierte en el derecho a saber qué, quién y por qué motivos, puede conocer información sobre la persona, pues deja de ser sólo un derecho de defensa de un espacio exclusivo y excluyente, para convertirse también en un derecho activo de control sobre la información personal, de que otros puedan disponer y del uso que se le dé.</w:t>
      </w:r>
    </w:p>
    <w:p w14:paraId="04B65387" w14:textId="199EE78C"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Asimismo, la Primera Sala recalca que </w:t>
      </w:r>
      <w:r w:rsidRPr="00A555A1">
        <w:rPr>
          <w:rFonts w:ascii="Century Gothic" w:eastAsia="Century Gothic" w:hAnsi="Century Gothic" w:cs="Century Gothic"/>
          <w:i/>
          <w:iCs/>
        </w:rPr>
        <w:t xml:space="preserve">“las potenciales agresiones que la posesión de la información personal organizada </w:t>
      </w:r>
      <w:r w:rsidRPr="00A555A1">
        <w:rPr>
          <w:rFonts w:ascii="Century Gothic" w:eastAsia="Century Gothic" w:hAnsi="Century Gothic" w:cs="Century Gothic"/>
        </w:rPr>
        <w:t>(que obra generalmente en registros informáticos)</w:t>
      </w:r>
      <w:r w:rsidRPr="00A555A1">
        <w:rPr>
          <w:rFonts w:ascii="Century Gothic" w:eastAsia="Century Gothic" w:hAnsi="Century Gothic" w:cs="Century Gothic"/>
          <w:i/>
          <w:iCs/>
        </w:rPr>
        <w:t xml:space="preserve">, representan para la intimidad, tienen una relevancia pública enorme, ya que el derecho a la intimidad y el derecho a la información, además de tener un aspecto de protección de bienes </w:t>
      </w:r>
      <w:r w:rsidRPr="00A555A1">
        <w:rPr>
          <w:rFonts w:ascii="Century Gothic" w:eastAsia="Century Gothic" w:hAnsi="Century Gothic" w:cs="Century Gothic"/>
          <w:i/>
          <w:iCs/>
        </w:rPr>
        <w:lastRenderedPageBreak/>
        <w:t xml:space="preserve">individuales, tienen una importante función para el desarrollo de sociedades democráticas porque son, bien entendidas, una condición para el ejercicio del resto de los </w:t>
      </w:r>
      <w:r w:rsidR="00E40489" w:rsidRPr="00A555A1">
        <w:rPr>
          <w:rFonts w:ascii="Century Gothic" w:eastAsia="Century Gothic" w:hAnsi="Century Gothic" w:cs="Century Gothic"/>
          <w:i/>
          <w:iCs/>
        </w:rPr>
        <w:t>D</w:t>
      </w:r>
      <w:r w:rsidRPr="00A555A1">
        <w:rPr>
          <w:rFonts w:ascii="Century Gothic" w:eastAsia="Century Gothic" w:hAnsi="Century Gothic" w:cs="Century Gothic"/>
          <w:i/>
          <w:iCs/>
        </w:rPr>
        <w:t xml:space="preserve">erechos </w:t>
      </w:r>
      <w:r w:rsidR="00E40489" w:rsidRPr="00A555A1">
        <w:rPr>
          <w:rFonts w:ascii="Century Gothic" w:eastAsia="Century Gothic" w:hAnsi="Century Gothic" w:cs="Century Gothic"/>
          <w:i/>
          <w:iCs/>
        </w:rPr>
        <w:t>H</w:t>
      </w:r>
      <w:r w:rsidRPr="00A555A1">
        <w:rPr>
          <w:rFonts w:ascii="Century Gothic" w:eastAsia="Century Gothic" w:hAnsi="Century Gothic" w:cs="Century Gothic"/>
          <w:i/>
          <w:iCs/>
        </w:rPr>
        <w:t>umanos”</w:t>
      </w:r>
      <w:r w:rsidRPr="00A555A1">
        <w:rPr>
          <w:rFonts w:ascii="Century Gothic" w:eastAsia="Century Gothic" w:hAnsi="Century Gothic" w:cs="Century Gothic"/>
          <w:vertAlign w:val="superscript"/>
        </w:rPr>
        <w:footnoteReference w:id="21"/>
      </w:r>
      <w:r w:rsidRPr="00A555A1">
        <w:rPr>
          <w:rFonts w:ascii="Century Gothic" w:eastAsia="Century Gothic" w:hAnsi="Century Gothic" w:cs="Century Gothic"/>
        </w:rPr>
        <w:t>.</w:t>
      </w:r>
    </w:p>
    <w:p w14:paraId="61AF2687"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El derecho a la protección de datos personales, por su parte, además de encontrarse reconocido en el artículo 16 de la CPEUM, se encuentra desarrollado, en la Ley de Protección de Datos Personales en Posesión de Particulares (en adelante, LFPDPPP) y la Ley General de Protección de Datos Personales en Posesión de Sujetos Obligados (en adelante, LGPDPPSO).</w:t>
      </w:r>
    </w:p>
    <w:p w14:paraId="1765E3A2"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El derecho a la protección de datos personales implica, de manera destacada, la obligación de que cualquier tratamiento</w:t>
      </w:r>
      <w:r w:rsidRPr="00A555A1">
        <w:rPr>
          <w:rFonts w:ascii="Century Gothic" w:eastAsia="Century Gothic" w:hAnsi="Century Gothic" w:cs="Century Gothic"/>
          <w:vertAlign w:val="superscript"/>
        </w:rPr>
        <w:footnoteReference w:id="22"/>
      </w:r>
      <w:r w:rsidRPr="00A555A1">
        <w:rPr>
          <w:rFonts w:ascii="Century Gothic" w:eastAsia="Century Gothic" w:hAnsi="Century Gothic" w:cs="Century Gothic"/>
        </w:rPr>
        <w:t xml:space="preserve"> de datos personales</w:t>
      </w:r>
      <w:r w:rsidRPr="00A555A1">
        <w:rPr>
          <w:rFonts w:ascii="Century Gothic" w:eastAsia="Century Gothic" w:hAnsi="Century Gothic" w:cs="Century Gothic"/>
          <w:vertAlign w:val="superscript"/>
        </w:rPr>
        <w:footnoteReference w:id="23"/>
      </w:r>
      <w:r w:rsidRPr="00A555A1">
        <w:rPr>
          <w:rFonts w:ascii="Century Gothic" w:eastAsia="Century Gothic" w:hAnsi="Century Gothic" w:cs="Century Gothic"/>
        </w:rPr>
        <w:t xml:space="preserve"> respete los principios de licitud, consentimiento, información, calidad, finalidad, lealtad, proporcionalidad y responsabilidad</w:t>
      </w:r>
      <w:r w:rsidRPr="00A555A1">
        <w:rPr>
          <w:rFonts w:ascii="Century Gothic" w:eastAsia="Century Gothic" w:hAnsi="Century Gothic" w:cs="Century Gothic"/>
          <w:vertAlign w:val="superscript"/>
        </w:rPr>
        <w:footnoteReference w:id="24"/>
      </w:r>
      <w:r w:rsidRPr="00A555A1">
        <w:rPr>
          <w:rFonts w:ascii="Century Gothic" w:eastAsia="Century Gothic" w:hAnsi="Century Gothic" w:cs="Century Gothic"/>
        </w:rPr>
        <w:t xml:space="preserve">, e impone obligaciones incluso más estrictas cuando el tratamiento se refiere a datos personales sensibles. </w:t>
      </w:r>
    </w:p>
    <w:p w14:paraId="3ADA887B"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Los datos sensibles son definidos por la LFPDPPP y la LGPDPPSO como “[A]quellos datos personales que afecten a la esfera más íntima de la persona titular, o cuya utilización indebida pueda dar origen a discriminación o conlleve un riesgo grave para esta. De manera enunciativa más no limitativa se consideran sensibles los datos personales que puedan revelar aspectos como origen racial o étnico, estado de salud presente o futuro, información genética, creencias religiosas, filosóficas y morales, opiniones políticas y preferencia sexual”</w:t>
      </w:r>
      <w:r w:rsidRPr="00A555A1">
        <w:rPr>
          <w:rFonts w:ascii="Century Gothic" w:eastAsia="Century Gothic" w:hAnsi="Century Gothic" w:cs="Century Gothic"/>
          <w:vertAlign w:val="superscript"/>
        </w:rPr>
        <w:footnoteReference w:id="25"/>
      </w:r>
      <w:r w:rsidRPr="00A555A1">
        <w:rPr>
          <w:rFonts w:ascii="Century Gothic" w:eastAsia="Century Gothic" w:hAnsi="Century Gothic" w:cs="Century Gothic"/>
        </w:rPr>
        <w:t>.</w:t>
      </w:r>
    </w:p>
    <w:p w14:paraId="6CB2AD39"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Igualmente, la LGPDPPSO dispone la obligación de realizar una Evaluación de Impacto a la Privacidad (en adelante, EIP) cuando “pretenda poner en operación o modificar políticas públicas, sistemas o plataformas informáticas, aplicaciones electrónicas o cualquier otra tecnología que a su </w:t>
      </w:r>
      <w:r w:rsidRPr="00A555A1">
        <w:rPr>
          <w:rFonts w:ascii="Century Gothic" w:eastAsia="Century Gothic" w:hAnsi="Century Gothic" w:cs="Century Gothic"/>
        </w:rPr>
        <w:lastRenderedPageBreak/>
        <w:t>juicio (…) impliquen el tratamiento intensivo o relevante de datos personales”</w:t>
      </w:r>
      <w:r w:rsidRPr="00A555A1">
        <w:rPr>
          <w:rFonts w:ascii="Century Gothic" w:eastAsia="Century Gothic" w:hAnsi="Century Gothic" w:cs="Century Gothic"/>
          <w:vertAlign w:val="superscript"/>
        </w:rPr>
        <w:footnoteReference w:id="26"/>
      </w:r>
      <w:r w:rsidRPr="00A555A1">
        <w:rPr>
          <w:rFonts w:ascii="Century Gothic" w:eastAsia="Century Gothic" w:hAnsi="Century Gothic" w:cs="Century Gothic"/>
        </w:rPr>
        <w:t>.</w:t>
      </w:r>
    </w:p>
    <w:p w14:paraId="1DAC5C0B"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Naturalmente, el derecho a la privacidad y a la protección de datos personales no es un derecho absoluto y admite restricciones. Sin embargo, las restricciones al derecho a la privacidad y a la protección de datos personales deben satisfacer estrictos requisitos para poder considerarse acordes al parámetro de regularidad constitucional.</w:t>
      </w:r>
    </w:p>
    <w:p w14:paraId="7853E10B"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Como la Corte IDH ha señalado, el primer paso para evaluar si la afectación al derecho a la privacidad es permitida a la luz de la CADH consiste en examinar si la medida cuestionada cumple con el requisito de legalidad. Ello significa que las condiciones y circunstancias generales conforme a las cuales se autoriza una restricción al ejercicio de un derecho humano determinado deben estar claramente establecidas por ley</w:t>
      </w:r>
      <w:r w:rsidRPr="00A555A1">
        <w:rPr>
          <w:rFonts w:ascii="Century Gothic" w:eastAsia="Century Gothic" w:hAnsi="Century Gothic" w:cs="Century Gothic"/>
          <w:vertAlign w:val="superscript"/>
        </w:rPr>
        <w:footnoteReference w:id="27"/>
      </w:r>
      <w:r w:rsidRPr="00A555A1">
        <w:rPr>
          <w:rFonts w:ascii="Century Gothic" w:eastAsia="Century Gothic" w:hAnsi="Century Gothic" w:cs="Century Gothic"/>
        </w:rPr>
        <w:t>. La norma que establece la restricción debe ser una ley en el sentido formal y material.</w:t>
      </w:r>
    </w:p>
    <w:p w14:paraId="44ED5509"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En consonancia con lo anterior, la Segunda Sala de la SCJN ha reconocido, al resolver por unanimidad el Amparo en Revisión 888/2017</w:t>
      </w:r>
      <w:r w:rsidRPr="00A555A1">
        <w:rPr>
          <w:rFonts w:ascii="Century Gothic" w:eastAsia="Century Gothic" w:hAnsi="Century Gothic" w:cs="Century Gothic"/>
          <w:vertAlign w:val="superscript"/>
        </w:rPr>
        <w:footnoteReference w:id="28"/>
      </w:r>
      <w:r w:rsidRPr="00A555A1">
        <w:rPr>
          <w:rFonts w:ascii="Century Gothic" w:eastAsia="Century Gothic" w:hAnsi="Century Gothic" w:cs="Century Gothic"/>
        </w:rPr>
        <w:t xml:space="preserve"> que respecto al derecho a la privacidad y a la protección de datos personales debe respetarse el principio de reserva de ley, por lo que no pueden delegarse facultades legislativas a favor de una autoridad administrativa cuestiones atinentes a la sustancia, contenido y alcance del derecho a la protección de datos personales.</w:t>
      </w:r>
    </w:p>
    <w:p w14:paraId="5FE425CA"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Asimismo, el Relator Especial de las Naciones Unidas para la protección y promoción del derecho a la libertad de expresión y la Relatora Especial para la Libertad de Expresión de la Comisión Interamericana de Derechos Humanos (en adelante, CIDH) en la Declaración Conjunta sobre Programas de Vigilancia y su Impacto en la Libertad de Expresión, ha resaltado que: </w:t>
      </w:r>
    </w:p>
    <w:p w14:paraId="4E8AA952" w14:textId="77777777" w:rsidR="00001DF2" w:rsidRPr="00A555A1" w:rsidRDefault="00000000">
      <w:pPr>
        <w:spacing w:line="360" w:lineRule="auto"/>
        <w:ind w:left="851" w:right="618"/>
        <w:jc w:val="both"/>
        <w:rPr>
          <w:rFonts w:ascii="Century Gothic" w:eastAsia="Century Gothic" w:hAnsi="Century Gothic" w:cs="Century Gothic"/>
          <w:sz w:val="20"/>
          <w:szCs w:val="20"/>
        </w:rPr>
      </w:pPr>
      <w:r w:rsidRPr="00A555A1">
        <w:rPr>
          <w:rFonts w:ascii="Century Gothic" w:eastAsia="Century Gothic" w:hAnsi="Century Gothic" w:cs="Century Gothic"/>
          <w:sz w:val="20"/>
          <w:szCs w:val="20"/>
        </w:rPr>
        <w:t xml:space="preserve">“Los Estados deben garantizar que la intervención, recolección y uso de información personal (...) estén claramente autorizadas por la ley a fin de </w:t>
      </w:r>
      <w:r w:rsidRPr="00A555A1">
        <w:rPr>
          <w:rFonts w:ascii="Century Gothic" w:eastAsia="Century Gothic" w:hAnsi="Century Gothic" w:cs="Century Gothic"/>
          <w:sz w:val="20"/>
          <w:szCs w:val="20"/>
        </w:rPr>
        <w:lastRenderedPageBreak/>
        <w:t>proteger a la persona contra interferencias arbitrarias o abusivas en sus intereses privados. La ley deberá establecer límites respecto a la naturaleza, alcance y duración de este tipo de medidas, las razones para ordenarlas, las autoridades competentes para autorizar, ejecutar y supervisarlas y los mecanismos legales para su impugnación.”</w:t>
      </w:r>
    </w:p>
    <w:p w14:paraId="388EA10E"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La misma relatoría ha establecido que en el contexto de intromisiones estatales en la privacidad, la ley debe ser lo suficientemente clara en sus términos para otorgar a los ciudadanos una indicación adecuada respecto de las condiciones y circunstancias en que las autoridades están facultadas para recurrir a dichas medidas. </w:t>
      </w:r>
    </w:p>
    <w:p w14:paraId="52C57000"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De igual manera, el Tribunal Europeo de Derechos Humanos (en adelante, TEDH) ha señalado que la ley debe ser lo suficientemente clara en sus términos para otorgar a los ciudadanos una indicación adecuada respecto de las condiciones y circunstancias en que las autoridades están facultadas para recurrir a dichas medidas.</w:t>
      </w:r>
      <w:r w:rsidRPr="00A555A1">
        <w:rPr>
          <w:rFonts w:ascii="Century Gothic" w:eastAsia="Century Gothic" w:hAnsi="Century Gothic" w:cs="Century Gothic"/>
          <w:vertAlign w:val="superscript"/>
        </w:rPr>
        <w:footnoteReference w:id="29"/>
      </w:r>
      <w:r w:rsidRPr="00A555A1">
        <w:rPr>
          <w:rFonts w:ascii="Century Gothic" w:eastAsia="Century Gothic" w:hAnsi="Century Gothic" w:cs="Century Gothic"/>
        </w:rPr>
        <w:t xml:space="preserve"> Además, ha señalado que en vista del riesgo de abuso que cualquier intromisión encubierta implica, las medidas deben basarse en una ley que sea particularmente precisa, en vista de que la tecnología disponible para realizar esas actividades continuamente se vuelve más sofisticada</w:t>
      </w:r>
      <w:r w:rsidRPr="00A555A1">
        <w:rPr>
          <w:rFonts w:ascii="Century Gothic" w:eastAsia="Century Gothic" w:hAnsi="Century Gothic" w:cs="Century Gothic"/>
          <w:vertAlign w:val="superscript"/>
        </w:rPr>
        <w:footnoteReference w:id="30"/>
      </w:r>
      <w:r w:rsidRPr="00A555A1">
        <w:rPr>
          <w:rFonts w:ascii="Century Gothic" w:eastAsia="Century Gothic" w:hAnsi="Century Gothic" w:cs="Century Gothic"/>
        </w:rPr>
        <w:t>.</w:t>
      </w:r>
    </w:p>
    <w:p w14:paraId="7B6688A3"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En igual sentido, la Relatoría Especial para la Libertad de Expresión de la CIDH señaló que:</w:t>
      </w:r>
    </w:p>
    <w:p w14:paraId="2794D0D9" w14:textId="77777777" w:rsidR="00001DF2" w:rsidRPr="00A555A1" w:rsidRDefault="00000000">
      <w:pPr>
        <w:spacing w:line="360" w:lineRule="auto"/>
        <w:ind w:left="851" w:right="618"/>
        <w:jc w:val="both"/>
        <w:rPr>
          <w:rFonts w:ascii="Century Gothic" w:eastAsia="Century Gothic" w:hAnsi="Century Gothic" w:cs="Century Gothic"/>
        </w:rPr>
      </w:pPr>
      <w:r w:rsidRPr="00A555A1">
        <w:rPr>
          <w:rFonts w:ascii="Century Gothic" w:eastAsia="Century Gothic" w:hAnsi="Century Gothic" w:cs="Century Gothic"/>
          <w:sz w:val="20"/>
          <w:szCs w:val="20"/>
        </w:rPr>
        <w:t>“Las normas legales vagas o ambiguas que otorgan facultades discrecionales muy amplias son incompatibles con la Convención Americana, porque pueden sustentar potenciales actos de arbitrariedad que se traduzcan en la violación del derecho a la privacidad o del derecho a la libertad de pensamiento y expresión garantizados por la Convención.”</w:t>
      </w:r>
      <w:r w:rsidRPr="00A555A1">
        <w:rPr>
          <w:rFonts w:ascii="Century Gothic" w:eastAsia="Century Gothic" w:hAnsi="Century Gothic" w:cs="Century Gothic"/>
          <w:sz w:val="20"/>
          <w:szCs w:val="20"/>
          <w:vertAlign w:val="superscript"/>
        </w:rPr>
        <w:footnoteReference w:id="31"/>
      </w:r>
      <w:r w:rsidRPr="00A555A1">
        <w:rPr>
          <w:rFonts w:ascii="Century Gothic" w:eastAsia="Century Gothic" w:hAnsi="Century Gothic" w:cs="Century Gothic"/>
        </w:rPr>
        <w:t xml:space="preserve"> </w:t>
      </w:r>
    </w:p>
    <w:p w14:paraId="131CE396" w14:textId="3995F8C4"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Con posterioridad al análisis de legalidad, tanto la SCJN como órganos internacionales de protección de derechos humanos como la Corte IDH y el TEDH coinciden en las interferencias con el derecho a la privacidad y </w:t>
      </w:r>
      <w:r w:rsidRPr="00A555A1">
        <w:rPr>
          <w:rFonts w:ascii="Century Gothic" w:eastAsia="Century Gothic" w:hAnsi="Century Gothic" w:cs="Century Gothic"/>
        </w:rPr>
        <w:lastRenderedPageBreak/>
        <w:t>protección de datos personales deben satisfacer los requisitos del test de proporcionalidad, por virtud del cual debe corroborarse, según ha señalado la Primera Sala al resolver el Amparo en Revisión 237/2014</w:t>
      </w:r>
      <w:r w:rsidR="00E40489" w:rsidRPr="00A555A1">
        <w:rPr>
          <w:rStyle w:val="Refdenotaalpie"/>
          <w:rFonts w:ascii="Century Gothic" w:eastAsia="Century Gothic" w:hAnsi="Century Gothic" w:cs="Century Gothic"/>
        </w:rPr>
        <w:footnoteReference w:id="32"/>
      </w:r>
      <w:r w:rsidRPr="00A555A1">
        <w:rPr>
          <w:rFonts w:ascii="Century Gothic" w:eastAsia="Century Gothic" w:hAnsi="Century Gothic" w:cs="Century Gothic"/>
        </w:rPr>
        <w:t>, lo siguiente: “(i) que la intervención legislativa persiga un fin constitucionalmente válido; (ii) que la medida resulte idónea para satisfacer en alguna medida su propósito constitucional; (iii) que no existan medidas alternativas igualmente idóneas para lograr dicho fin, pero menos lesivas para el derecho fundamental; y, (iv) que el grado de realización del fin perseguido sea mayor al grado de afectación provocado al derecho fundamental por la medida impugnada”.</w:t>
      </w:r>
    </w:p>
    <w:p w14:paraId="5653A14C"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En particular, respecto de interferencias en el derecho a la privacidad y a la protección de datos personales con fines relacionados a tareas de seguridad y justicia, la LGPDPSO limita de manera reforzada la obtención y tratamiento de datos personales para estos fines al señalar en su artículo 74 que dicha obtención y tratamiento </w:t>
      </w:r>
      <w:r w:rsidRPr="00A555A1">
        <w:rPr>
          <w:rFonts w:ascii="Century Gothic" w:eastAsia="Century Gothic" w:hAnsi="Century Gothic" w:cs="Century Gothic"/>
          <w:i/>
          <w:iCs/>
        </w:rPr>
        <w:t>“está limitada a aquellos supuestos y categorías de datos que resulten necesarios y proporcionales para el ejercicio de las funciones en materia de seguridad nacional, seguridad pública, o para la prevención o persecución de los delitos”</w:t>
      </w:r>
      <w:r w:rsidRPr="00A555A1">
        <w:rPr>
          <w:rFonts w:ascii="Century Gothic" w:eastAsia="Century Gothic" w:hAnsi="Century Gothic" w:cs="Century Gothic"/>
        </w:rPr>
        <w:t>.</w:t>
      </w:r>
    </w:p>
    <w:p w14:paraId="615FB61A"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Igualmente, resulta pertinente destacar que tribunales y organismos internacionales de protección de derechos humanos han destacado que la existencia de salvaguardas adecuadas y efectivas resulta determinante para el análisis respecto de la necesidad y proporcionalidad de legislaciones que facultan invasiones a la privacidad de manera encubierta por parte del Estado</w:t>
      </w:r>
      <w:r w:rsidRPr="00A555A1">
        <w:rPr>
          <w:rFonts w:ascii="Century Gothic" w:eastAsia="Century Gothic" w:hAnsi="Century Gothic" w:cs="Century Gothic"/>
          <w:vertAlign w:val="superscript"/>
        </w:rPr>
        <w:footnoteReference w:id="33"/>
      </w:r>
      <w:r w:rsidRPr="00A555A1">
        <w:rPr>
          <w:rFonts w:ascii="Century Gothic" w:eastAsia="Century Gothic" w:hAnsi="Century Gothic" w:cs="Century Gothic"/>
        </w:rPr>
        <w:t>. La relevancia de garantías efectivas en contra del abuso de medidas invasivas en la privacidad ha sido destacada por la Asamblea General de la Organización de las Naciones Unidas</w:t>
      </w:r>
      <w:r w:rsidRPr="00A555A1">
        <w:rPr>
          <w:rFonts w:ascii="Century Gothic" w:eastAsia="Century Gothic" w:hAnsi="Century Gothic" w:cs="Century Gothic"/>
          <w:vertAlign w:val="superscript"/>
        </w:rPr>
        <w:footnoteReference w:id="34"/>
      </w:r>
      <w:r w:rsidRPr="00A555A1">
        <w:rPr>
          <w:rFonts w:ascii="Century Gothic" w:eastAsia="Century Gothic" w:hAnsi="Century Gothic" w:cs="Century Gothic"/>
        </w:rPr>
        <w:t>, el Relator Especial de la ONU para el Derecho a la Libertad de Expresión y Opinión</w:t>
      </w:r>
      <w:r w:rsidRPr="00A555A1">
        <w:rPr>
          <w:rFonts w:ascii="Century Gothic" w:eastAsia="Century Gothic" w:hAnsi="Century Gothic" w:cs="Century Gothic"/>
          <w:vertAlign w:val="superscript"/>
        </w:rPr>
        <w:footnoteReference w:id="35"/>
      </w:r>
      <w:r w:rsidRPr="00A555A1">
        <w:rPr>
          <w:rFonts w:ascii="Century Gothic" w:eastAsia="Century Gothic" w:hAnsi="Century Gothic" w:cs="Century Gothic"/>
        </w:rPr>
        <w:t xml:space="preserve">, la Alta Comisionada para los Derechos Humanos de la ONU, la </w:t>
      </w:r>
      <w:r w:rsidRPr="00A555A1">
        <w:rPr>
          <w:rFonts w:ascii="Century Gothic" w:eastAsia="Century Gothic" w:hAnsi="Century Gothic" w:cs="Century Gothic"/>
        </w:rPr>
        <w:lastRenderedPageBreak/>
        <w:t>Relatora Especial para la Libertad de Expresión de la Comisión Interamericana sobre Derechos Humanos</w:t>
      </w:r>
      <w:r w:rsidRPr="00A555A1">
        <w:rPr>
          <w:rFonts w:ascii="Century Gothic" w:eastAsia="Century Gothic" w:hAnsi="Century Gothic" w:cs="Century Gothic"/>
          <w:vertAlign w:val="superscript"/>
        </w:rPr>
        <w:footnoteReference w:id="36"/>
      </w:r>
      <w:r w:rsidRPr="00A555A1">
        <w:rPr>
          <w:rFonts w:ascii="Century Gothic" w:eastAsia="Century Gothic" w:hAnsi="Century Gothic" w:cs="Century Gothic"/>
        </w:rPr>
        <w:t>, así como por organizaciones de la sociedad civil y expertos que han recogido las mejores prácticas derivadas de la jurisprudencia y doctrina comparada y han elaborado los Principios Internacionales sobre la Aplicación de los Derechos Humanos a la Vigilancia de las Comunicaciones</w:t>
      </w:r>
      <w:r w:rsidRPr="00A555A1">
        <w:rPr>
          <w:rFonts w:ascii="Century Gothic" w:eastAsia="Century Gothic" w:hAnsi="Century Gothic" w:cs="Century Gothic"/>
          <w:vertAlign w:val="superscript"/>
        </w:rPr>
        <w:footnoteReference w:id="37"/>
      </w:r>
      <w:r w:rsidRPr="00A555A1">
        <w:rPr>
          <w:rFonts w:ascii="Century Gothic" w:eastAsia="Century Gothic" w:hAnsi="Century Gothic" w:cs="Century Gothic"/>
        </w:rPr>
        <w:t>.</w:t>
      </w:r>
    </w:p>
    <w:p w14:paraId="2FD9E6F4" w14:textId="2D80FDCE"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Una de las salvaguardas fundamentales para inhibir los riesgos de abuso de invasiones encubiertas en la privacidad es el control judicial. La relevancia fundamental del control judicial previo o inmediato de medidas que invaden la privacidad de las personas ha sido resaltada por la Relatoría Especial para la Libertad de Expresión de la Comisión Interamericana de Derechos Humanos, la cual ha señalado que:</w:t>
      </w:r>
    </w:p>
    <w:p w14:paraId="557DDA82" w14:textId="77777777" w:rsidR="00001DF2" w:rsidRPr="00A555A1" w:rsidRDefault="00000000">
      <w:pPr>
        <w:spacing w:line="360" w:lineRule="auto"/>
        <w:ind w:left="851" w:right="618"/>
        <w:jc w:val="both"/>
        <w:rPr>
          <w:rFonts w:ascii="Century Gothic" w:eastAsia="Century Gothic" w:hAnsi="Century Gothic" w:cs="Century Gothic"/>
        </w:rPr>
      </w:pPr>
      <w:r w:rsidRPr="00A555A1">
        <w:rPr>
          <w:rFonts w:ascii="Century Gothic" w:eastAsia="Century Gothic" w:hAnsi="Century Gothic" w:cs="Century Gothic"/>
          <w:sz w:val="20"/>
          <w:szCs w:val="20"/>
        </w:rPr>
        <w:t>“ (…) [l]as decisiones de realizar tareas de vigilancia que invadan la privacidad de las personas deben ser autorizadas por autoridades judiciales independientes, que deben dar cuenta de las razones por las cuales la medida es idónea para alcanzar los fines que persigue en el caso concreto; de si es lo suficientemente restringida para no afectar el derecho involucrado más de lo necesario; y de si resulta proporcional respecto del interés que se quiere promover. (…)”</w:t>
      </w:r>
      <w:r w:rsidRPr="00A555A1">
        <w:rPr>
          <w:rFonts w:ascii="Century Gothic" w:eastAsia="Century Gothic" w:hAnsi="Century Gothic" w:cs="Century Gothic"/>
          <w:vertAlign w:val="superscript"/>
        </w:rPr>
        <w:footnoteReference w:id="38"/>
      </w:r>
    </w:p>
    <w:p w14:paraId="58348C16"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Igualmente, se han reconocido otras salvaguardas indispensables para inhibir los riesgos inherentes de abuso de las medidas de vigilancia encubierta, como lo son la supervisión independiente, las medidas de transparencia o el derecho de notificación al afectado.</w:t>
      </w:r>
    </w:p>
    <w:p w14:paraId="72EF002E"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La Relatoría Especial para la Libertad de Expresión de la Comisión Interamericana ha señalado que </w:t>
      </w:r>
      <w:r w:rsidRPr="00A555A1">
        <w:rPr>
          <w:rFonts w:ascii="Century Gothic" w:eastAsia="Century Gothic" w:hAnsi="Century Gothic" w:cs="Century Gothic"/>
          <w:i/>
          <w:iCs/>
        </w:rPr>
        <w:t>“los Estados deben establecer mecanismos de supervisión independientes sobre las autoridades encargadas de realizar las tareas de vigilancia”</w:t>
      </w:r>
      <w:r w:rsidRPr="00A555A1">
        <w:rPr>
          <w:rFonts w:ascii="Century Gothic" w:eastAsia="Century Gothic" w:hAnsi="Century Gothic" w:cs="Century Gothic"/>
          <w:vertAlign w:val="superscript"/>
        </w:rPr>
        <w:footnoteReference w:id="39"/>
      </w:r>
      <w:r w:rsidRPr="00A555A1">
        <w:rPr>
          <w:rFonts w:ascii="Century Gothic" w:eastAsia="Century Gothic" w:hAnsi="Century Gothic" w:cs="Century Gothic"/>
        </w:rPr>
        <w:t xml:space="preserve">. En igual sentido, en la resolución </w:t>
      </w:r>
      <w:r w:rsidRPr="00A555A1">
        <w:rPr>
          <w:rFonts w:ascii="Century Gothic" w:eastAsia="Century Gothic" w:hAnsi="Century Gothic" w:cs="Century Gothic"/>
          <w:i/>
          <w:iCs/>
        </w:rPr>
        <w:t>“El derecho a la privacidad en la era digital ”</w:t>
      </w:r>
      <w:r w:rsidRPr="00A555A1">
        <w:rPr>
          <w:rFonts w:ascii="Century Gothic" w:eastAsia="Century Gothic" w:hAnsi="Century Gothic" w:cs="Century Gothic"/>
        </w:rPr>
        <w:t xml:space="preserve">, adoptada por consenso por los miembros de la </w:t>
      </w:r>
      <w:r w:rsidRPr="00A555A1">
        <w:rPr>
          <w:rFonts w:ascii="Century Gothic" w:eastAsia="Century Gothic" w:hAnsi="Century Gothic" w:cs="Century Gothic"/>
        </w:rPr>
        <w:lastRenderedPageBreak/>
        <w:t xml:space="preserve">Asamblea General de la ONU el 18 de diciembre de 2013, se recomienda a los Estados establecer o mantener </w:t>
      </w:r>
      <w:r w:rsidRPr="00A555A1">
        <w:rPr>
          <w:rFonts w:ascii="Century Gothic" w:eastAsia="Century Gothic" w:hAnsi="Century Gothic" w:cs="Century Gothic"/>
          <w:i/>
          <w:iCs/>
        </w:rPr>
        <w:t>“mecanismos nacionales de supervisión independiente y efectivos capaces de asegurar la transparencia, cuando proceda, y la rendición de cuentas por las actividades de vigilancia de las comunicaciones y la interceptación y recopilación de datos personales que realice el Estado”</w:t>
      </w:r>
      <w:r w:rsidRPr="00A555A1">
        <w:rPr>
          <w:rFonts w:ascii="Century Gothic" w:eastAsia="Century Gothic" w:hAnsi="Century Gothic" w:cs="Century Gothic"/>
          <w:vertAlign w:val="superscript"/>
        </w:rPr>
        <w:footnoteReference w:id="40"/>
      </w:r>
      <w:r w:rsidRPr="00A555A1">
        <w:rPr>
          <w:rFonts w:ascii="Century Gothic" w:eastAsia="Century Gothic" w:hAnsi="Century Gothic" w:cs="Century Gothic"/>
        </w:rPr>
        <w:t>. Por su parte, el Relator Especial sobre el derecho a la libertad de opinión y expresión de la Organización de las Naciones Unidas ha expresado que:</w:t>
      </w:r>
    </w:p>
    <w:p w14:paraId="55E6DCE5" w14:textId="77777777" w:rsidR="00001DF2" w:rsidRPr="00A555A1" w:rsidRDefault="00000000">
      <w:pPr>
        <w:spacing w:line="360" w:lineRule="auto"/>
        <w:ind w:left="851" w:right="618"/>
        <w:jc w:val="both"/>
        <w:rPr>
          <w:rFonts w:ascii="Century Gothic" w:eastAsia="Century Gothic" w:hAnsi="Century Gothic" w:cs="Century Gothic"/>
          <w:i/>
          <w:iCs/>
          <w:sz w:val="20"/>
          <w:szCs w:val="20"/>
        </w:rPr>
      </w:pPr>
      <w:r w:rsidRPr="00A555A1">
        <w:rPr>
          <w:rFonts w:ascii="Century Gothic" w:eastAsia="Century Gothic" w:hAnsi="Century Gothic" w:cs="Century Gothic"/>
          <w:i/>
          <w:iCs/>
          <w:sz w:val="20"/>
          <w:szCs w:val="20"/>
        </w:rPr>
        <w:t>“Los Estados deben ser completamente transparentes respecto del uso y alcance de los poderes y técnicas de vigilancia de las comunicaciones. Deben publicar, como mínimo, información agregada sobre el número de solicitudes aprobadas y rechazadas, una desagregación de las solicitudes por proveedor de servicios y por investigación y propósito.</w:t>
      </w:r>
    </w:p>
    <w:p w14:paraId="14B52485" w14:textId="77777777" w:rsidR="00001DF2" w:rsidRPr="00A555A1" w:rsidRDefault="00000000">
      <w:pPr>
        <w:spacing w:line="360" w:lineRule="auto"/>
        <w:ind w:left="851" w:right="618"/>
        <w:jc w:val="both"/>
        <w:rPr>
          <w:rFonts w:ascii="Century Gothic" w:eastAsia="Century Gothic" w:hAnsi="Century Gothic" w:cs="Century Gothic"/>
        </w:rPr>
      </w:pPr>
      <w:r w:rsidRPr="00A555A1">
        <w:rPr>
          <w:rFonts w:ascii="Century Gothic" w:eastAsia="Century Gothic" w:hAnsi="Century Gothic" w:cs="Century Gothic"/>
          <w:i/>
          <w:iCs/>
          <w:sz w:val="20"/>
          <w:szCs w:val="20"/>
        </w:rPr>
        <w:t>Los Estados deben proporcionar a los particulares información suficiente para permitirles comprender el alcance, la naturaleza y la aplicación de las leyes que permiten la vigilancia de las comunicaciones. Los Estados deben permitir a los proveedores de servicios publicar los procedimientos que aplican cuando abordan la vigilancia de las comunicaciones, seguir esos procedimientos y publicar registros de la vigilancia de las comunicaciones.”</w:t>
      </w:r>
      <w:r w:rsidRPr="00A555A1">
        <w:rPr>
          <w:rFonts w:ascii="Century Gothic" w:eastAsia="Century Gothic" w:hAnsi="Century Gothic" w:cs="Century Gothic"/>
          <w:vertAlign w:val="superscript"/>
        </w:rPr>
        <w:footnoteReference w:id="41"/>
      </w:r>
    </w:p>
    <w:p w14:paraId="0446C84E"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Otra de las salvaguardas fundamentales para proteger el derecho a la vida privada, garantizar el debido proceso y el acceso a un recurso efectivo es el derecho de notificación a la persona afectada. Es decir, la obligación de parte de la autoridad de notificar a una persona que su privacidad o datos personales fueron interferidos mediante una medida de vigilancia encubierta. Si bien, dicha notificación, puede no poder llevarse a cabo de manera previa o inmediata, en tanto se podría frustrar el éxito de una investigación, dicha notificación debe llevarse a cabo cuando no esté en riesgo una investigación, no exista riesgo de fuga, de destrucción de evidencia o el conocimiento pueda generar un riesgo inminente de peligro a la vida o integridad personal de alguna persona.</w:t>
      </w:r>
    </w:p>
    <w:p w14:paraId="2A7EFE7A"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Este derecho de notificación a las personas afectadas por medidas de vigilancia ha sido reconocido, por ejemplo, por el Relator Especial sobre el derecho a la libertad de opinión y expresión de la Organización de las Naciones Unidas:</w:t>
      </w:r>
    </w:p>
    <w:p w14:paraId="64F55341" w14:textId="77777777" w:rsidR="00001DF2" w:rsidRPr="00A555A1" w:rsidRDefault="00000000">
      <w:pPr>
        <w:spacing w:line="360" w:lineRule="auto"/>
        <w:ind w:left="851" w:right="618"/>
        <w:jc w:val="both"/>
        <w:rPr>
          <w:rFonts w:ascii="Century Gothic" w:eastAsia="Century Gothic" w:hAnsi="Century Gothic" w:cs="Century Gothic"/>
          <w:sz w:val="20"/>
          <w:szCs w:val="20"/>
        </w:rPr>
      </w:pPr>
      <w:r w:rsidRPr="00A555A1">
        <w:rPr>
          <w:rFonts w:ascii="Century Gothic" w:eastAsia="Century Gothic" w:hAnsi="Century Gothic" w:cs="Century Gothic"/>
          <w:sz w:val="20"/>
          <w:szCs w:val="20"/>
        </w:rPr>
        <w:lastRenderedPageBreak/>
        <w:t>“Las personas deben tener derecho a que se les notifique si han estado sometidas a la vigilancia de las comunicaciones o si el Estado ha accedido a sus datos de comunicaciones. Si bien la notificación por adelantado o simultánea podría atentar contra la eficacia de la vigilancia, debe notificarse a las personas una vez que la vigilancia haya finalizado, y darles la posibilidad de obtener reparación por el uso de medidas de vigilancia, con posteridad a ella.”</w:t>
      </w:r>
      <w:r w:rsidRPr="00A555A1">
        <w:rPr>
          <w:rFonts w:ascii="Century Gothic" w:eastAsia="Century Gothic" w:hAnsi="Century Gothic" w:cs="Century Gothic"/>
          <w:vertAlign w:val="superscript"/>
        </w:rPr>
        <w:footnoteReference w:id="42"/>
      </w:r>
    </w:p>
    <w:p w14:paraId="3287C2A6"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Este derecho de notificación ha sido reconocido, además, por el TEDH, el cual determinó en el Caso Ekimdziev vs. Bulgaria que una vez que la vigilancia ha cesado y ha transcurrido el tiempo estrictamente necesario para que el propósito legítimo de la vigilancia no sea puesto en riesgo, la notificación al afectado debe llevarse a cabo sin dilación.</w:t>
      </w:r>
      <w:r w:rsidRPr="00A555A1">
        <w:rPr>
          <w:rFonts w:ascii="Century Gothic" w:eastAsia="Century Gothic" w:hAnsi="Century Gothic" w:cs="Century Gothic"/>
          <w:vertAlign w:val="superscript"/>
        </w:rPr>
        <w:footnoteReference w:id="43"/>
      </w:r>
    </w:p>
    <w:p w14:paraId="1D433293"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De manera particularmente relevante para el presente caso, resulta pertinente destacar la sentencia del TEDH en el caso S. y Marper vs. Reino Unido</w:t>
      </w:r>
      <w:r w:rsidRPr="00A555A1">
        <w:rPr>
          <w:rFonts w:ascii="Century Gothic" w:eastAsia="Century Gothic" w:hAnsi="Century Gothic" w:cs="Century Gothic"/>
          <w:vertAlign w:val="superscript"/>
        </w:rPr>
        <w:footnoteReference w:id="44"/>
      </w:r>
      <w:r w:rsidRPr="00A555A1">
        <w:rPr>
          <w:rFonts w:ascii="Century Gothic" w:eastAsia="Century Gothic" w:hAnsi="Century Gothic" w:cs="Century Gothic"/>
        </w:rPr>
        <w:t>, en donde consideró que la recolección y conservación masiva e indiscriminada de datos biométricos, como huellas digitales y datos genéticos, como muestras de ADN, constituye una interferencia desproporcionada e innecesaria del derecho a la privacidad y la protección de datos personales.</w:t>
      </w:r>
    </w:p>
    <w:p w14:paraId="35F7E3D4"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En el mencionado precedente, el TEDH resalta la importancia de la protección de los datos personales para el disfrute del derecho del respeto a la vida privada y familiar de una persona, por lo cual “[</w:t>
      </w:r>
      <w:r w:rsidRPr="00A555A1">
        <w:rPr>
          <w:rFonts w:ascii="Century Gothic" w:eastAsia="Century Gothic" w:hAnsi="Century Gothic" w:cs="Century Gothic"/>
          <w:i/>
          <w:iCs/>
        </w:rPr>
        <w:t>l]a legislación nacional debe ofrecer las salvaguardias adecuadas para evitar cualquier uso de los datos personales que pueda ser incompatible con las garantías de este artículo 8 de la Convención.”</w:t>
      </w:r>
      <w:r w:rsidRPr="00A555A1">
        <w:rPr>
          <w:rFonts w:ascii="Century Gothic" w:eastAsia="Century Gothic" w:hAnsi="Century Gothic" w:cs="Century Gothic"/>
          <w:vertAlign w:val="superscript"/>
        </w:rPr>
        <w:footnoteReference w:id="45"/>
      </w:r>
    </w:p>
    <w:p w14:paraId="01EC1F3A"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 Así, el TEDH reconoce que dichas salvaguardas son más necesarias </w:t>
      </w:r>
      <w:r w:rsidRPr="00A555A1">
        <w:rPr>
          <w:rFonts w:ascii="Century Gothic" w:eastAsia="Century Gothic" w:hAnsi="Century Gothic" w:cs="Century Gothic"/>
          <w:i/>
          <w:iCs/>
        </w:rPr>
        <w:t>“en lo que respecta a la protección de los datos personales sometidos a tratamiento automático, sobre todo cuando dichos datos se utilizan con fines policiales.”</w:t>
      </w:r>
      <w:r w:rsidRPr="00A555A1">
        <w:rPr>
          <w:rFonts w:ascii="Century Gothic" w:eastAsia="Century Gothic" w:hAnsi="Century Gothic" w:cs="Century Gothic"/>
          <w:vertAlign w:val="superscript"/>
        </w:rPr>
        <w:footnoteReference w:id="46"/>
      </w:r>
    </w:p>
    <w:p w14:paraId="5A769410"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lastRenderedPageBreak/>
        <w:t xml:space="preserve">Por lo cual, el TEDH señala que: </w:t>
      </w:r>
      <w:r w:rsidRPr="00A555A1">
        <w:rPr>
          <w:rFonts w:ascii="Century Gothic" w:eastAsia="Century Gothic" w:hAnsi="Century Gothic" w:cs="Century Gothic"/>
          <w:i/>
          <w:iCs/>
        </w:rPr>
        <w:t>“[l]a legislación nacional debería garantizar, en particular, que dichos datos sean pertinentes y no excesivos en relación con los fines para los que se almacenan; y conservados en una forma que permita la identificación de los interesados durante un período no superior al necesario para el fin para el que se almacenan esos datos”</w:t>
      </w:r>
      <w:r w:rsidRPr="00A555A1">
        <w:rPr>
          <w:rFonts w:ascii="Century Gothic" w:eastAsia="Century Gothic" w:hAnsi="Century Gothic" w:cs="Century Gothic"/>
          <w:vertAlign w:val="superscript"/>
        </w:rPr>
        <w:footnoteReference w:id="47"/>
      </w:r>
      <w:r w:rsidRPr="00A555A1">
        <w:rPr>
          <w:rFonts w:ascii="Century Gothic" w:eastAsia="Century Gothic" w:hAnsi="Century Gothic" w:cs="Century Gothic"/>
        </w:rPr>
        <w:t>. Asimismo, recalca que dentro de las garantías reconocidas por la legislación nacional deben de incluirse que “</w:t>
      </w:r>
      <w:r w:rsidRPr="00A555A1">
        <w:rPr>
          <w:rFonts w:ascii="Century Gothic" w:eastAsia="Century Gothic" w:hAnsi="Century Gothic" w:cs="Century Gothic"/>
          <w:i/>
          <w:iCs/>
        </w:rPr>
        <w:t>los datos personales conservados estén protegidos eficazmente contra el uso indebido y el abuso (...). Las consideraciones anteriores son especialmente válidas en lo que respecta a la protección de categorías especiales de datos más sensibles”.</w:t>
      </w:r>
      <w:r w:rsidRPr="00A555A1">
        <w:rPr>
          <w:rFonts w:ascii="Century Gothic" w:eastAsia="Century Gothic" w:hAnsi="Century Gothic" w:cs="Century Gothic"/>
          <w:vertAlign w:val="superscript"/>
        </w:rPr>
        <w:footnoteReference w:id="48"/>
      </w:r>
    </w:p>
    <w:p w14:paraId="121B1929" w14:textId="3398AD15"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 Igualmente, deben destacarse también el criterio del Tribunal de Justicia de la Unión Europea (en adelante, TJUE) en el Caso “Digital Rights Ireland” donde consideró que las medidas que obligan a la recolección y conservación masiva e indiscriminada de datos personales son incompatibles con el derecho a la privacidad y a la protección de datos. Por ejemplo, en el citado caso, el TJUE, señaló que la legislación que ordenaba medidas de recolección y almacenamiento masiva e indiscriminada de datos conservados de telefonía celular con el fin de prevenir e investigar la delincuencia: </w:t>
      </w:r>
      <w:r w:rsidRPr="00A555A1">
        <w:rPr>
          <w:rFonts w:ascii="Century Gothic" w:eastAsia="Century Gothic" w:hAnsi="Century Gothic" w:cs="Century Gothic"/>
          <w:i/>
          <w:iCs/>
        </w:rPr>
        <w:t>“afecta con carácter global a todas las personas que utilizan servicios de comunicaciones electrónicas, sin que las personas cuyos datos se conservan se encuentren, ni siquiera indirectamente, en una situación que pueda dar lugar a acciones penales. Por lo tanto, se aplica incluso a personas respecto de las que no existen indicios que sugieran que su comportamiento puede guardar relación, incluso indirecta o remota, con delitos graves. Además, no establece ninguna excepción, por lo que se aplica también a personas cuyas comunicaciones están sujetas al secreto profesional con arreglo a las normas de la legislación nacional</w:t>
      </w:r>
      <w:r w:rsidR="00FC63DF" w:rsidRPr="00A555A1">
        <w:rPr>
          <w:rFonts w:ascii="Century Gothic" w:eastAsia="Century Gothic" w:hAnsi="Century Gothic" w:cs="Century Gothic"/>
          <w:i/>
          <w:iCs/>
        </w:rPr>
        <w:t>.</w:t>
      </w:r>
      <w:r w:rsidRPr="00A555A1">
        <w:rPr>
          <w:rFonts w:ascii="Century Gothic" w:eastAsia="Century Gothic" w:hAnsi="Century Gothic" w:cs="Century Gothic"/>
          <w:i/>
          <w:iCs/>
        </w:rPr>
        <w:t>”</w:t>
      </w:r>
      <w:r w:rsidRPr="00A555A1">
        <w:rPr>
          <w:rFonts w:ascii="Century Gothic" w:eastAsia="Century Gothic" w:hAnsi="Century Gothic" w:cs="Century Gothic"/>
          <w:vertAlign w:val="superscript"/>
        </w:rPr>
        <w:footnoteReference w:id="49"/>
      </w:r>
      <w:r w:rsidRPr="00A555A1">
        <w:rPr>
          <w:rFonts w:ascii="Century Gothic" w:eastAsia="Century Gothic" w:hAnsi="Century Gothic" w:cs="Century Gothic"/>
        </w:rPr>
        <w:t xml:space="preserve"> </w:t>
      </w:r>
    </w:p>
    <w:p w14:paraId="34A1013A"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Respecto a la finalidad que perseguía esta legislación consistente en combatir la lucha contra la delincuencia, el TJUE argumenta que:</w:t>
      </w:r>
    </w:p>
    <w:p w14:paraId="1FB8E4EA" w14:textId="77777777" w:rsidR="00001DF2" w:rsidRPr="00A555A1" w:rsidRDefault="00000000">
      <w:pPr>
        <w:spacing w:line="360" w:lineRule="auto"/>
        <w:ind w:left="851" w:right="618"/>
        <w:jc w:val="both"/>
        <w:rPr>
          <w:rFonts w:ascii="Century Gothic" w:eastAsia="Century Gothic" w:hAnsi="Century Gothic" w:cs="Century Gothic"/>
          <w:sz w:val="20"/>
          <w:szCs w:val="20"/>
        </w:rPr>
      </w:pPr>
      <w:r w:rsidRPr="00A555A1">
        <w:rPr>
          <w:rFonts w:ascii="Century Gothic" w:eastAsia="Century Gothic" w:hAnsi="Century Gothic" w:cs="Century Gothic"/>
        </w:rPr>
        <w:t xml:space="preserve">I. </w:t>
      </w:r>
      <w:r w:rsidRPr="00A555A1">
        <w:rPr>
          <w:rFonts w:ascii="Century Gothic" w:eastAsia="Century Gothic" w:hAnsi="Century Gothic" w:cs="Century Gothic"/>
          <w:sz w:val="20"/>
          <w:szCs w:val="20"/>
        </w:rPr>
        <w:t xml:space="preserve">“(…), [n]o exige ninguna relación entre los datos cuya conservación se establece y una amenaza para la seguridad pública y, en particular, la conservación no se limita a datos referentes a un período temporal o zona </w:t>
      </w:r>
      <w:r w:rsidRPr="00A555A1">
        <w:rPr>
          <w:rFonts w:ascii="Century Gothic" w:eastAsia="Century Gothic" w:hAnsi="Century Gothic" w:cs="Century Gothic"/>
          <w:sz w:val="20"/>
          <w:szCs w:val="20"/>
        </w:rPr>
        <w:lastRenderedPageBreak/>
        <w:t>geográfica determinados o a un círculo de personas concretas que puedan estar implicadas de una manera u otra en un delito grave, ni a personas que por otros motivos podrían contribuir, mediante la conservación de sus datos, a la prevención, detección o enjuiciamiento de delitos graves.”</w:t>
      </w:r>
      <w:r w:rsidRPr="00A555A1">
        <w:rPr>
          <w:rFonts w:ascii="Century Gothic" w:eastAsia="Century Gothic" w:hAnsi="Century Gothic" w:cs="Century Gothic"/>
          <w:vertAlign w:val="superscript"/>
        </w:rPr>
        <w:footnoteReference w:id="50"/>
      </w:r>
    </w:p>
    <w:p w14:paraId="1332AC7E" w14:textId="77777777" w:rsidR="00001DF2" w:rsidRPr="00A555A1" w:rsidRDefault="00000000">
      <w:pPr>
        <w:spacing w:line="360" w:lineRule="auto"/>
        <w:ind w:left="851" w:right="618"/>
        <w:jc w:val="both"/>
        <w:rPr>
          <w:rFonts w:ascii="Century Gothic" w:eastAsia="Century Gothic" w:hAnsi="Century Gothic" w:cs="Century Gothic"/>
          <w:sz w:val="20"/>
          <w:szCs w:val="20"/>
        </w:rPr>
      </w:pPr>
      <w:r w:rsidRPr="00A555A1">
        <w:rPr>
          <w:rFonts w:ascii="Century Gothic" w:eastAsia="Century Gothic" w:hAnsi="Century Gothic" w:cs="Century Gothic"/>
        </w:rPr>
        <w:t>II. Aludiendo a la falta de límites de la legislación:</w:t>
      </w:r>
      <w:r w:rsidRPr="00A555A1">
        <w:rPr>
          <w:rFonts w:ascii="Century Gothic" w:eastAsia="Century Gothic" w:hAnsi="Century Gothic" w:cs="Century Gothic"/>
          <w:sz w:val="20"/>
          <w:szCs w:val="20"/>
        </w:rPr>
        <w:t xml:space="preserve"> “(…) [n]o fija ningún criterio objetivo que permita delimitar el acceso de las autoridades nacionales competentes a los datos y su utilización posterior con fines de prevención, detección o enjuiciamiento de delitos que, debido a la magnitud y la gravedad de la injerencia en los derechos fundamentales reconocidos en los artículos 7 y 8 de la Carta, puedan considerarse suficientemente graves para justificar tal injerencia.”</w:t>
      </w:r>
      <w:r w:rsidRPr="00A555A1">
        <w:rPr>
          <w:rFonts w:ascii="Century Gothic" w:eastAsia="Century Gothic" w:hAnsi="Century Gothic" w:cs="Century Gothic"/>
          <w:vertAlign w:val="superscript"/>
        </w:rPr>
        <w:footnoteReference w:id="51"/>
      </w:r>
    </w:p>
    <w:p w14:paraId="1A101C31"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El TJUE concluye que dicha legislación no establece reglas claras y precisas que regulen el alcance de la injerencia en los derechos fundamentales de los ciudadanos al respeto de la vida privada y de las comunicaciones y a la protección de los datos de carácter personal reconocidos en la Carta de Derechos Fundamentales de la Unión Europea. Por lo cual, el Tribunal resolvió que dicha legislación constituye </w:t>
      </w:r>
      <w:r w:rsidRPr="00A555A1">
        <w:rPr>
          <w:rFonts w:ascii="Century Gothic" w:eastAsia="Century Gothic" w:hAnsi="Century Gothic" w:cs="Century Gothic"/>
          <w:i/>
          <w:iCs/>
        </w:rPr>
        <w:t>“una injerencia en los derechos fundamentales de gran magnitud y especial gravedad en el ordenamiento jurídico de la Unión, sin que esta injerencia esté regulada de manera precisa por disposiciones que permitan garantizar que se limita efectivamente a lo estrictamente necesario.”</w:t>
      </w:r>
      <w:r w:rsidRPr="00A555A1">
        <w:rPr>
          <w:rFonts w:ascii="Century Gothic" w:eastAsia="Century Gothic" w:hAnsi="Century Gothic" w:cs="Century Gothic"/>
          <w:vertAlign w:val="superscript"/>
        </w:rPr>
        <w:footnoteReference w:id="52"/>
      </w:r>
    </w:p>
    <w:p w14:paraId="7716430A"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Posteriormente, tras resolver el caso de Digital Rights Ireland, el tribunal resolvió los casos conjuntos en el caso Watson y otros</w:t>
      </w:r>
      <w:r w:rsidRPr="00A555A1">
        <w:rPr>
          <w:rFonts w:ascii="Century Gothic" w:eastAsia="Century Gothic" w:hAnsi="Century Gothic" w:cs="Century Gothic"/>
          <w:vertAlign w:val="superscript"/>
        </w:rPr>
        <w:footnoteReference w:id="53"/>
      </w:r>
      <w:r w:rsidRPr="00A555A1">
        <w:rPr>
          <w:rFonts w:ascii="Century Gothic" w:eastAsia="Century Gothic" w:hAnsi="Century Gothic" w:cs="Century Gothic"/>
        </w:rPr>
        <w:t xml:space="preserve"> donde también se combatían normas nacionales donde se preveía la retención de datos conservados de telefonía de manera masiva e indiscriminada como una medida contra la delincuencia. </w:t>
      </w:r>
    </w:p>
    <w:p w14:paraId="2C16BC2A" w14:textId="73CE115C"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Sobre estos casos, el TJUE, resolvió que: </w:t>
      </w:r>
      <w:r w:rsidR="00FC63DF" w:rsidRPr="00A555A1">
        <w:rPr>
          <w:rFonts w:ascii="Century Gothic" w:eastAsia="Century Gothic" w:hAnsi="Century Gothic" w:cs="Century Gothic"/>
          <w:i/>
          <w:iCs/>
        </w:rPr>
        <w:t>“</w:t>
      </w:r>
      <w:r w:rsidRPr="00A555A1">
        <w:rPr>
          <w:rFonts w:ascii="Century Gothic" w:eastAsia="Century Gothic" w:hAnsi="Century Gothic" w:cs="Century Gothic"/>
          <w:i/>
          <w:iCs/>
        </w:rPr>
        <w:t xml:space="preserve">si bien es cierto que la eficacia de la lucha contra la delincuencia grave, especialmente contra la delincuencia organizada y el terrorismo, puede depender en gran medida del uso de técnicas modernas de investigación, este objetivo de interés general, por muy fundamental que sea, no puede por sí solo justificar que una normativa nacional que establezca la conservación generalizada e </w:t>
      </w:r>
      <w:r w:rsidRPr="00A555A1">
        <w:rPr>
          <w:rFonts w:ascii="Century Gothic" w:eastAsia="Century Gothic" w:hAnsi="Century Gothic" w:cs="Century Gothic"/>
          <w:i/>
          <w:iCs/>
        </w:rPr>
        <w:lastRenderedPageBreak/>
        <w:t>indiferenciada de todos los datos de tráfico y de localización deba ser considerada necesaria a los efectos de dicha lucha</w:t>
      </w:r>
      <w:r w:rsidR="00FC63DF" w:rsidRPr="00A555A1">
        <w:rPr>
          <w:rFonts w:ascii="Century Gothic" w:eastAsia="Century Gothic" w:hAnsi="Century Gothic" w:cs="Century Gothic"/>
          <w:i/>
          <w:iCs/>
        </w:rPr>
        <w:t>”</w:t>
      </w:r>
      <w:r w:rsidR="00FC63DF" w:rsidRPr="00A555A1">
        <w:rPr>
          <w:rFonts w:ascii="Century Gothic" w:eastAsia="Century Gothic" w:hAnsi="Century Gothic" w:cs="Century Gothic"/>
          <w:vertAlign w:val="superscript"/>
        </w:rPr>
        <w:t xml:space="preserve"> </w:t>
      </w:r>
      <w:r w:rsidR="00FC63DF" w:rsidRPr="00A555A1">
        <w:rPr>
          <w:rFonts w:ascii="Century Gothic" w:eastAsia="Century Gothic" w:hAnsi="Century Gothic" w:cs="Century Gothic"/>
          <w:vertAlign w:val="superscript"/>
        </w:rPr>
        <w:footnoteReference w:id="54"/>
      </w:r>
      <w:r w:rsidRPr="00A555A1">
        <w:rPr>
          <w:rFonts w:ascii="Century Gothic" w:eastAsia="Century Gothic" w:hAnsi="Century Gothic" w:cs="Century Gothic"/>
        </w:rPr>
        <w:t xml:space="preserve">. </w:t>
      </w:r>
    </w:p>
    <w:p w14:paraId="7F3D4F87"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Así, el Tribunal reitera que una normativa nacional que cubra </w:t>
      </w:r>
      <w:r w:rsidRPr="00A555A1">
        <w:rPr>
          <w:rFonts w:ascii="Century Gothic" w:eastAsia="Century Gothic" w:hAnsi="Century Gothic" w:cs="Century Gothic"/>
          <w:i/>
          <w:iCs/>
        </w:rPr>
        <w:t>“de manera generalizada a todos los abonados y usuarios registrados y que tiene por objeto todos los medios de comunicación electrónica, así como todos los datos de tráfico, no establece ninguna diferenciación, limitación o excepción en función del objetivo que se pretende lograr”</w:t>
      </w:r>
      <w:r w:rsidRPr="00A555A1">
        <w:rPr>
          <w:rFonts w:ascii="Century Gothic" w:eastAsia="Century Gothic" w:hAnsi="Century Gothic" w:cs="Century Gothic"/>
          <w:vertAlign w:val="superscript"/>
        </w:rPr>
        <w:footnoteReference w:id="55"/>
      </w:r>
      <w:r w:rsidRPr="00A555A1">
        <w:rPr>
          <w:rFonts w:ascii="Century Gothic" w:eastAsia="Century Gothic" w:hAnsi="Century Gothic" w:cs="Century Gothic"/>
        </w:rPr>
        <w:t>.</w:t>
      </w:r>
    </w:p>
    <w:p w14:paraId="6E20D7B0"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En ese sentido, el TJUE sostuvo que una norma que obligue el almacenamiento de datos conservados de manera masiva </w:t>
      </w:r>
      <w:r w:rsidRPr="00A555A1">
        <w:rPr>
          <w:rFonts w:ascii="Century Gothic" w:eastAsia="Century Gothic" w:hAnsi="Century Gothic" w:cs="Century Gothic"/>
          <w:i/>
          <w:iCs/>
        </w:rPr>
        <w:t>“afecta globalmente a todas las personas que hacen uso de servicios de comunicaciones electrónicas, aunque no se encuentren, ni siquiera indirectamente, en una situación que justifique una acción penal. Por tanto, esa normativa se aplica incluso a las personas de las que no existe ningún indicio para pensar que su comportamiento pueda tener una relación, incluso indirecta o remota, con la comisión de delitos graves.”</w:t>
      </w:r>
      <w:r w:rsidRPr="00A555A1">
        <w:rPr>
          <w:rFonts w:ascii="Century Gothic" w:eastAsia="Century Gothic" w:hAnsi="Century Gothic" w:cs="Century Gothic"/>
          <w:vertAlign w:val="superscript"/>
        </w:rPr>
        <w:footnoteReference w:id="56"/>
      </w:r>
    </w:p>
    <w:p w14:paraId="7CFF7FA2" w14:textId="22E933FB"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Igual que el caso predecesor, el TJUE señala la falta de salvaguardas en este tipo de normativas ya que: </w:t>
      </w:r>
      <w:r w:rsidRPr="00A555A1">
        <w:rPr>
          <w:rFonts w:ascii="Century Gothic" w:eastAsia="Century Gothic" w:hAnsi="Century Gothic" w:cs="Century Gothic"/>
          <w:i/>
          <w:iCs/>
        </w:rPr>
        <w:t>“no exige ninguna relación entre los datos cuya conservación se establece y una amenaza para la seguridad pública. En particular, no está limitada a una conservación de datos referentes a un período temporal, una zona geográfica o un círculo de personas que puedan estar implicadas de una manera u otra en un delito grave, ni a personas que por otros motivos podrían contribuir, mediante la conservación de sus datos, a la lucha contra la delincuencia”</w:t>
      </w:r>
      <w:r w:rsidRPr="00A555A1">
        <w:rPr>
          <w:rFonts w:ascii="Century Gothic" w:eastAsia="Century Gothic" w:hAnsi="Century Gothic" w:cs="Century Gothic"/>
          <w:vertAlign w:val="superscript"/>
        </w:rPr>
        <w:footnoteReference w:id="57"/>
      </w:r>
      <w:r w:rsidR="00FC63DF" w:rsidRPr="00A555A1">
        <w:rPr>
          <w:rFonts w:ascii="Century Gothic" w:eastAsia="Century Gothic" w:hAnsi="Century Gothic" w:cs="Century Gothic"/>
          <w:i/>
          <w:iCs/>
        </w:rPr>
        <w:t>.</w:t>
      </w:r>
    </w:p>
    <w:p w14:paraId="70D05E10"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En conclusión, El TJUE resuelve que este tipo de legislación </w:t>
      </w:r>
      <w:r w:rsidRPr="00A555A1">
        <w:rPr>
          <w:rFonts w:ascii="Century Gothic" w:eastAsia="Century Gothic" w:hAnsi="Century Gothic" w:cs="Century Gothic"/>
          <w:i/>
          <w:iCs/>
        </w:rPr>
        <w:t>“excede, por tanto, de los límites de lo estrictamente necesario y no puede considerarse justificada en una sociedad democrática.”</w:t>
      </w:r>
      <w:r w:rsidRPr="00A555A1">
        <w:rPr>
          <w:rFonts w:ascii="Century Gothic" w:eastAsia="Century Gothic" w:hAnsi="Century Gothic" w:cs="Century Gothic"/>
          <w:vertAlign w:val="superscript"/>
        </w:rPr>
        <w:footnoteReference w:id="58"/>
      </w:r>
    </w:p>
    <w:p w14:paraId="04B58187" w14:textId="77777777" w:rsidR="00001DF2" w:rsidRPr="00A555A1" w:rsidRDefault="00000000" w:rsidP="00FC63DF">
      <w:pPr>
        <w:spacing w:line="360" w:lineRule="auto"/>
        <w:jc w:val="center"/>
        <w:rPr>
          <w:rFonts w:ascii="Century Gothic" w:eastAsia="Century Gothic" w:hAnsi="Century Gothic" w:cs="Century Gothic"/>
          <w:b/>
          <w:bCs/>
        </w:rPr>
      </w:pPr>
      <w:r w:rsidRPr="00A555A1">
        <w:rPr>
          <w:rFonts w:ascii="Century Gothic" w:eastAsia="Century Gothic" w:hAnsi="Century Gothic" w:cs="Century Gothic"/>
          <w:b/>
          <w:bCs/>
        </w:rPr>
        <w:t>B. APLICACIÓN DEL PARÁMETRO DE REGULARIDAD CONSTITUCIONAL</w:t>
      </w:r>
    </w:p>
    <w:p w14:paraId="4236D94E" w14:textId="1B6A1EF2"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En atención al marco jurídico de protección del derecho a la privacidad y de protección de datos personales que ha sido desarrollado, es claro que las normas combatidas, al disponer la recolección y conservación </w:t>
      </w:r>
      <w:r w:rsidRPr="00A555A1">
        <w:rPr>
          <w:rFonts w:ascii="Century Gothic" w:eastAsia="Century Gothic" w:hAnsi="Century Gothic" w:cs="Century Gothic"/>
        </w:rPr>
        <w:lastRenderedPageBreak/>
        <w:t xml:space="preserve">masiva y obligatoria de datos personales, incluyendo datos personales sensibles como lo son los datos biométricos, consistente en una “prueba de vida“, así como disponer que autoridades puedan tener acceso a los mismos, </w:t>
      </w:r>
      <w:r w:rsidR="00663115" w:rsidRPr="00A555A1">
        <w:rPr>
          <w:rFonts w:ascii="Century Gothic" w:eastAsia="Century Gothic" w:hAnsi="Century Gothic" w:cs="Century Gothic"/>
        </w:rPr>
        <w:t xml:space="preserve">sin ninguna salvaguarda judicial, </w:t>
      </w:r>
      <w:r w:rsidRPr="00A555A1">
        <w:rPr>
          <w:rFonts w:ascii="Century Gothic" w:eastAsia="Century Gothic" w:hAnsi="Century Gothic" w:cs="Century Gothic"/>
        </w:rPr>
        <w:t>constituyen de manera innegable interferencias en el derecho a la privacidad y a la protección de datos personales.</w:t>
      </w:r>
    </w:p>
    <w:p w14:paraId="4D3B6731"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En este sentido, a continuación, se exponen los argumentos con los que se demuestra que las normas combatidas incumplen con los requisitos que el parámetro de regularidad constitucional exige.</w:t>
      </w:r>
    </w:p>
    <w:p w14:paraId="7AF2A52E" w14:textId="77777777" w:rsidR="00001DF2" w:rsidRPr="00A555A1" w:rsidRDefault="00000000">
      <w:pPr>
        <w:spacing w:line="360" w:lineRule="auto"/>
        <w:jc w:val="both"/>
        <w:rPr>
          <w:rFonts w:ascii="Century Gothic" w:eastAsia="Century Gothic" w:hAnsi="Century Gothic" w:cs="Century Gothic"/>
          <w:b/>
          <w:bCs/>
        </w:rPr>
      </w:pPr>
      <w:r w:rsidRPr="00A555A1">
        <w:rPr>
          <w:rFonts w:ascii="Century Gothic" w:eastAsia="Century Gothic" w:hAnsi="Century Gothic" w:cs="Century Gothic"/>
          <w:b/>
          <w:bCs/>
        </w:rPr>
        <w:t>1. Incumplimiento del requisito de legalidad</w:t>
      </w:r>
    </w:p>
    <w:p w14:paraId="49B7C282"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Como fue desarrollado anteriormente, para que una interferencia en el derecho a la privacidad y la protección de datos personales pueda ser considerada compatible con el marco constitucional, resulta indispensable que dicha interferencia cumpla el requisito de legalidad, lo cual implica analizar si la interferencia se encuentra autorizada por una ley, en el sentido formal y material, creada en cumplimiento del marco jurídico y estableciendo con claridad suficiente la sustancia, contenido y alcance del derecho a la privacidad y a la protección de datos personales. </w:t>
      </w:r>
    </w:p>
    <w:p w14:paraId="29ADC52D" w14:textId="5C455D7B"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En este sentido, las normas combatidas incumplen con el requisito de legalidad, al menos, en dos sentidos. Primero, al crearse un Registro de Líneas Telefónicas sin realizar una </w:t>
      </w:r>
      <w:r w:rsidR="00663115" w:rsidRPr="00A555A1">
        <w:rPr>
          <w:rFonts w:ascii="Century Gothic" w:eastAsia="Century Gothic" w:hAnsi="Century Gothic" w:cs="Century Gothic"/>
        </w:rPr>
        <w:t xml:space="preserve">EIP </w:t>
      </w:r>
      <w:r w:rsidRPr="00A555A1">
        <w:rPr>
          <w:rFonts w:ascii="Century Gothic" w:eastAsia="Century Gothic" w:hAnsi="Century Gothic" w:cs="Century Gothic"/>
        </w:rPr>
        <w:t>como lo exige la LGPDPSO y en segundo lugar, al delegarse facultades legislativas a favor de una autoridad administrativa cuestiones atinentes a la sustancia, contenido y alcance del derecho a la protección de datos personales, como lo es la definición específica de los datos biométricos (prueba de vida) que obligatoriamente serán recabados como requisito para ejercer el derecho de acceso a las TIC.</w:t>
      </w:r>
    </w:p>
    <w:p w14:paraId="0A7221EC" w14:textId="277D9A23" w:rsidR="00001DF2" w:rsidRPr="00A555A1" w:rsidRDefault="00000000">
      <w:pPr>
        <w:spacing w:line="360" w:lineRule="auto"/>
        <w:ind w:firstLine="1418"/>
        <w:jc w:val="both"/>
        <w:rPr>
          <w:rFonts w:ascii="Century Gothic" w:eastAsia="Century Gothic" w:hAnsi="Century Gothic" w:cs="Century Gothic"/>
          <w:b/>
          <w:bCs/>
        </w:rPr>
      </w:pPr>
      <w:r w:rsidRPr="00A555A1">
        <w:rPr>
          <w:rFonts w:ascii="Century Gothic" w:eastAsia="Century Gothic" w:hAnsi="Century Gothic" w:cs="Century Gothic"/>
          <w:b/>
          <w:bCs/>
        </w:rPr>
        <w:t>a) Omisión de realizar una EIP</w:t>
      </w:r>
    </w:p>
    <w:p w14:paraId="578C14A7" w14:textId="1C2FDD05"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La LGPDPSO establece en su artículo 68 la obligación de realizar una </w:t>
      </w:r>
      <w:r w:rsidR="00663115" w:rsidRPr="00A555A1">
        <w:rPr>
          <w:rFonts w:ascii="Century Gothic" w:eastAsia="Century Gothic" w:hAnsi="Century Gothic" w:cs="Century Gothic"/>
        </w:rPr>
        <w:t>EIP</w:t>
      </w:r>
      <w:r w:rsidRPr="00A555A1">
        <w:rPr>
          <w:rFonts w:ascii="Century Gothic" w:eastAsia="Century Gothic" w:hAnsi="Century Gothic" w:cs="Century Gothic"/>
        </w:rPr>
        <w:t>, y presentarla ante la Secretaría Anticorrupción y Buen Gobierno</w:t>
      </w:r>
      <w:r w:rsidRPr="00A555A1">
        <w:rPr>
          <w:rFonts w:ascii="Century Gothic" w:eastAsia="Century Gothic" w:hAnsi="Century Gothic" w:cs="Century Gothic"/>
          <w:vertAlign w:val="superscript"/>
        </w:rPr>
        <w:footnoteReference w:id="59"/>
      </w:r>
      <w:r w:rsidRPr="00A555A1">
        <w:rPr>
          <w:rFonts w:ascii="Century Gothic" w:eastAsia="Century Gothic" w:hAnsi="Century Gothic" w:cs="Century Gothic"/>
        </w:rPr>
        <w:t xml:space="preserve"> (en adelante, SABG) cuando se pretendan modificar políticas públicas que impliquen un </w:t>
      </w:r>
      <w:r w:rsidRPr="00A555A1">
        <w:rPr>
          <w:rFonts w:ascii="Century Gothic" w:eastAsia="Century Gothic" w:hAnsi="Century Gothic" w:cs="Century Gothic"/>
          <w:i/>
          <w:iCs/>
        </w:rPr>
        <w:t>“tratamiento intensivo o relevante de datos personales”</w:t>
      </w:r>
      <w:r w:rsidRPr="00A555A1">
        <w:rPr>
          <w:rFonts w:ascii="Century Gothic" w:eastAsia="Century Gothic" w:hAnsi="Century Gothic" w:cs="Century Gothic"/>
        </w:rPr>
        <w:t>. El artículo 69 de la LGPDPSO, por su parte establece que se está en presencia de un tratamiento intensivo o relevante de datos personales cuando “</w:t>
      </w:r>
      <w:r w:rsidRPr="00A555A1">
        <w:rPr>
          <w:rFonts w:ascii="Century Gothic" w:eastAsia="Century Gothic" w:hAnsi="Century Gothic" w:cs="Century Gothic"/>
          <w:i/>
          <w:iCs/>
        </w:rPr>
        <w:t xml:space="preserve">existan </w:t>
      </w:r>
      <w:r w:rsidRPr="00A555A1">
        <w:rPr>
          <w:rFonts w:ascii="Century Gothic" w:eastAsia="Century Gothic" w:hAnsi="Century Gothic" w:cs="Century Gothic"/>
          <w:i/>
          <w:iCs/>
        </w:rPr>
        <w:lastRenderedPageBreak/>
        <w:t>riesgos inherentes a los datos personales a tratar”</w:t>
      </w:r>
      <w:r w:rsidRPr="00A555A1">
        <w:rPr>
          <w:rFonts w:ascii="Century Gothic" w:eastAsia="Century Gothic" w:hAnsi="Century Gothic" w:cs="Century Gothic"/>
        </w:rPr>
        <w:t>, “</w:t>
      </w:r>
      <w:r w:rsidRPr="00A555A1">
        <w:rPr>
          <w:rFonts w:ascii="Century Gothic" w:eastAsia="Century Gothic" w:hAnsi="Century Gothic" w:cs="Century Gothic"/>
          <w:i/>
          <w:iCs/>
        </w:rPr>
        <w:t>se traten datos personales sensibles”</w:t>
      </w:r>
      <w:r w:rsidRPr="00A555A1">
        <w:rPr>
          <w:rFonts w:ascii="Century Gothic" w:eastAsia="Century Gothic" w:hAnsi="Century Gothic" w:cs="Century Gothic"/>
        </w:rPr>
        <w:t xml:space="preserve">, y </w:t>
      </w:r>
      <w:r w:rsidRPr="00A555A1">
        <w:rPr>
          <w:rFonts w:ascii="Century Gothic" w:eastAsia="Century Gothic" w:hAnsi="Century Gothic" w:cs="Century Gothic"/>
          <w:i/>
          <w:iCs/>
        </w:rPr>
        <w:t>“se efectúen o pretendan efectuar transferencias de datos personales”</w:t>
      </w:r>
      <w:r w:rsidRPr="00A555A1">
        <w:rPr>
          <w:rFonts w:ascii="Century Gothic" w:eastAsia="Century Gothic" w:hAnsi="Century Gothic" w:cs="Century Gothic"/>
        </w:rPr>
        <w:t>.</w:t>
      </w:r>
    </w:p>
    <w:p w14:paraId="3401342B"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En este sentido, el artículo 70 de la LGPDPSO y los artículos 8 y 9 de las disposiciones administrativas de carácter general para la elaboración, presentación y valoración de evaluaciones de impacto en la protección de datos personales</w:t>
      </w:r>
      <w:r w:rsidRPr="00A555A1">
        <w:rPr>
          <w:rFonts w:ascii="Century Gothic" w:eastAsia="Century Gothic" w:hAnsi="Century Gothic" w:cs="Century Gothic"/>
          <w:vertAlign w:val="superscript"/>
        </w:rPr>
        <w:footnoteReference w:id="60"/>
      </w:r>
      <w:r w:rsidRPr="00A555A1">
        <w:rPr>
          <w:rFonts w:ascii="Century Gothic" w:eastAsia="Century Gothic" w:hAnsi="Century Gothic" w:cs="Century Gothic"/>
        </w:rPr>
        <w:t xml:space="preserve">, emitidas por el extinto Instituto Nacional de Acceso a la Información Pública y Protección de Datos Personales (en adelante, INAI), establecen diversos criterios y ejemplos de tratamientos intensivos y relevantes de datos personales, entre los que se encuentran, por ejemplo </w:t>
      </w:r>
      <w:r w:rsidRPr="00A555A1">
        <w:rPr>
          <w:rFonts w:ascii="Century Gothic" w:eastAsia="Century Gothic" w:hAnsi="Century Gothic" w:cs="Century Gothic"/>
          <w:i/>
          <w:iCs/>
        </w:rPr>
        <w:t>“crear bases de datos concernientes a un número elevado de titulares (...) de tal manera que se produzca la acumulación no intencional de una gran cantidad de datos personales respecto de los mismos”</w:t>
      </w:r>
      <w:r w:rsidRPr="00A555A1">
        <w:rPr>
          <w:rFonts w:ascii="Century Gothic" w:eastAsia="Century Gothic" w:hAnsi="Century Gothic" w:cs="Century Gothic"/>
          <w:vertAlign w:val="superscript"/>
        </w:rPr>
        <w:footnoteReference w:id="61"/>
      </w:r>
      <w:r w:rsidRPr="00A555A1">
        <w:rPr>
          <w:rFonts w:ascii="Century Gothic" w:eastAsia="Century Gothic" w:hAnsi="Century Gothic" w:cs="Century Gothic"/>
        </w:rPr>
        <w:t xml:space="preserve">, tratar datos biométricos (prueba de vida) o </w:t>
      </w:r>
      <w:r w:rsidRPr="00A555A1">
        <w:rPr>
          <w:rFonts w:ascii="Century Gothic" w:eastAsia="Century Gothic" w:hAnsi="Century Gothic" w:cs="Century Gothic"/>
          <w:i/>
          <w:iCs/>
        </w:rPr>
        <w:t>“tratar datos personales sensibles con la finalidad de efectuar un tratamiento sistemático y masivo de los mismos”</w:t>
      </w:r>
      <w:r w:rsidRPr="00A555A1">
        <w:rPr>
          <w:rFonts w:ascii="Century Gothic" w:eastAsia="Century Gothic" w:hAnsi="Century Gothic" w:cs="Century Gothic"/>
          <w:vertAlign w:val="superscript"/>
        </w:rPr>
        <w:t xml:space="preserve"> </w:t>
      </w:r>
      <w:r w:rsidRPr="00A555A1">
        <w:rPr>
          <w:rFonts w:ascii="Century Gothic" w:eastAsia="Century Gothic" w:hAnsi="Century Gothic" w:cs="Century Gothic"/>
          <w:vertAlign w:val="superscript"/>
        </w:rPr>
        <w:footnoteReference w:id="62"/>
      </w:r>
      <w:r w:rsidRPr="00A555A1">
        <w:rPr>
          <w:rFonts w:ascii="Century Gothic" w:eastAsia="Century Gothic" w:hAnsi="Century Gothic" w:cs="Century Gothic"/>
        </w:rPr>
        <w:t>.</w:t>
      </w:r>
    </w:p>
    <w:p w14:paraId="2D3B25DF" w14:textId="58AEFC36"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La creación de esta obligación por parte de las concesionarias, como es el caso de la concesionaria responsable, a través de la creación de la LMTR y sus Lineamientos (Ias normas combatidas) innegablemente constituye una modificación de políticas que implica tratamientos intensivos y relevantes</w:t>
      </w:r>
      <w:r w:rsidR="00663115" w:rsidRPr="00A555A1">
        <w:rPr>
          <w:rFonts w:ascii="Century Gothic" w:eastAsia="Century Gothic" w:hAnsi="Century Gothic" w:cs="Century Gothic"/>
        </w:rPr>
        <w:t>, ya que e</w:t>
      </w:r>
      <w:r w:rsidRPr="00A555A1">
        <w:rPr>
          <w:rFonts w:ascii="Century Gothic" w:eastAsia="Century Gothic" w:hAnsi="Century Gothic" w:cs="Century Gothic"/>
        </w:rPr>
        <w:t xml:space="preserve">l Poder Legislativo y la CRT, quienes figuran como sujetos obligados según el artículo 1 de la LGPDPSO y que son responsables de la modificación normativa, dispusieron la creación de estos registros que implican el tratamiento masivo de datos personales sensibles —como los </w:t>
      </w:r>
      <w:r w:rsidRPr="00A555A1">
        <w:rPr>
          <w:rFonts w:ascii="Century Gothic" w:eastAsia="Century Gothic" w:hAnsi="Century Gothic" w:cs="Century Gothic"/>
        </w:rPr>
        <w:lastRenderedPageBreak/>
        <w:t>datos biométricos para la "prueba de vida"— y la creación de la base de datos más grande de la historia del país, después del fallido PANAUT. Por consiguiente, antes de la modificación de las normas, debió cumplirse ineludiblemente con la obligación de realizar una EIP.</w:t>
      </w:r>
    </w:p>
    <w:p w14:paraId="5128A418"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Lejos de cumplir con este imperativo legal, del expediente y del proceso legislativo no se desprende constancia, estudio ni pronunciamiento alguno emitido o presentado ante la SABG, por lo que esta omisión procedimental se agrava al advertirse que la CRT actuó con pleno conocimiento de la irregularidad. </w:t>
      </w:r>
    </w:p>
    <w:p w14:paraId="1F2BFC85" w14:textId="770C4A2B"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Se dice lo anterior, porque durante la consulta pública del proyecto normativo, </w:t>
      </w:r>
      <w:r w:rsidR="003D5C68" w:rsidRPr="00A555A1">
        <w:rPr>
          <w:rFonts w:ascii="Century Gothic" w:eastAsia="Century Gothic" w:hAnsi="Century Gothic" w:cs="Century Gothic"/>
        </w:rPr>
        <w:t>diferentes miembros de la sociedad civil</w:t>
      </w:r>
      <w:r w:rsidRPr="00A555A1">
        <w:rPr>
          <w:rFonts w:ascii="Century Gothic" w:eastAsia="Century Gothic" w:hAnsi="Century Gothic" w:cs="Century Gothic"/>
        </w:rPr>
        <w:t>, advirtieron expresamente a la CRT que el uso de biometría exigía contar con el estudio de impacto elaborado por la SABG previo a su puesta en práctica, de conformidad con el artículo 39, fracción IX de la LFPDPPP</w:t>
      </w:r>
      <w:r w:rsidRPr="00A555A1">
        <w:rPr>
          <w:rFonts w:ascii="Century Gothic" w:eastAsia="Century Gothic" w:hAnsi="Century Gothic" w:cs="Century Gothic"/>
          <w:vertAlign w:val="superscript"/>
        </w:rPr>
        <w:footnoteReference w:id="63"/>
      </w:r>
      <w:r w:rsidRPr="00A555A1">
        <w:rPr>
          <w:rFonts w:ascii="Century Gothic" w:eastAsia="Century Gothic" w:hAnsi="Century Gothic" w:cs="Century Gothic"/>
        </w:rPr>
        <w:t>.</w:t>
      </w:r>
    </w:p>
    <w:p w14:paraId="75833EF3"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En lugar de tramitar la EIP ante la autoridad competente, la CRT pretendió evadir el mandato legal mediante una modificación superficial a su propuesta regulatoria. Como consta en su Informe de Consideraciones, la CRT determinó que la "prueba de vida" se mantendría para validar la identidad de los usuarios, pero estableció la prohibición de que las plataformas almacenaran los datos biométricos o copias de las identificaciones</w:t>
      </w:r>
      <w:r w:rsidRPr="00A555A1">
        <w:rPr>
          <w:rFonts w:ascii="Century Gothic" w:eastAsia="Century Gothic" w:hAnsi="Century Gothic" w:cs="Century Gothic"/>
          <w:vertAlign w:val="superscript"/>
        </w:rPr>
        <w:footnoteReference w:id="64"/>
      </w:r>
      <w:r w:rsidRPr="00A555A1">
        <w:rPr>
          <w:rFonts w:ascii="Century Gothic" w:eastAsia="Century Gothic" w:hAnsi="Century Gothic" w:cs="Century Gothic"/>
        </w:rPr>
        <w:t xml:space="preserve">, con esta maniobra procedimental, la CRT intentó alinear el proyecto con los principios de protección de datos asumiendo, </w:t>
      </w:r>
      <w:r w:rsidRPr="00A555A1">
        <w:rPr>
          <w:rFonts w:ascii="Century Gothic" w:eastAsia="Century Gothic" w:hAnsi="Century Gothic" w:cs="Century Gothic"/>
          <w:i/>
          <w:iCs/>
        </w:rPr>
        <w:t>motu proprio</w:t>
      </w:r>
      <w:r w:rsidRPr="00A555A1">
        <w:rPr>
          <w:rFonts w:ascii="Century Gothic" w:eastAsia="Century Gothic" w:hAnsi="Century Gothic" w:cs="Century Gothic"/>
        </w:rPr>
        <w:t xml:space="preserve"> y sin competencia para ello, que la no retención de la información mitigaba el riesgo, sustituyendo así el análisis técnico y formal que le correspondía en exclusiva a la SABG.</w:t>
      </w:r>
    </w:p>
    <w:p w14:paraId="4712D8CD" w14:textId="071F4A3B"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No obstante, la simple validación biométrica en tiempo real continúa subsumiéndose en las hipótesis de tratamiento intensivo de datos personales previstas en la ley, por lo que la prohibición de almacenamiento no exime ni releva a las autoridades de contar con la EIP. Al omitir recabar </w:t>
      </w:r>
      <w:r w:rsidRPr="00A555A1">
        <w:rPr>
          <w:rFonts w:ascii="Century Gothic" w:eastAsia="Century Gothic" w:hAnsi="Century Gothic" w:cs="Century Gothic"/>
        </w:rPr>
        <w:lastRenderedPageBreak/>
        <w:t>dicho estudio y marginar a la SABG del proceso normativo, las autoridades impidieron que se tomaran en cuenta recomendaciones especializadas sobre el diseño de un sistema que pone en riesgo a todas las personas usuarias de telefonía móvil.</w:t>
      </w:r>
    </w:p>
    <w:p w14:paraId="3914194C"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Por virtud de lo anterior, las normas combatidas resultan inconstitucionales al actualizarse una flagrante violación al principio de legalidad y seguridad jurídica, derivada del incumplimiento y la deliberada evasión de presentar la EIP con anterioridad a la creación de las normas combatidas que crean —lo que podríamos considerar— el nuevo PANAUT.</w:t>
      </w:r>
    </w:p>
    <w:p w14:paraId="531B56DE" w14:textId="77777777" w:rsidR="00001DF2" w:rsidRPr="00A555A1" w:rsidRDefault="00000000">
      <w:pPr>
        <w:spacing w:line="360" w:lineRule="auto"/>
        <w:ind w:firstLine="1418"/>
        <w:jc w:val="both"/>
        <w:rPr>
          <w:rFonts w:ascii="Century Gothic" w:eastAsia="Century Gothic" w:hAnsi="Century Gothic" w:cs="Century Gothic"/>
          <w:b/>
          <w:bCs/>
        </w:rPr>
      </w:pPr>
      <w:r w:rsidRPr="00A555A1">
        <w:rPr>
          <w:rFonts w:ascii="Century Gothic" w:eastAsia="Century Gothic" w:hAnsi="Century Gothic" w:cs="Century Gothic"/>
          <w:b/>
          <w:bCs/>
        </w:rPr>
        <w:t>b) Inconstitucionalidad del artículo 103 de la LMTR y los Lineamientos de la CRT por transgresión al principio de reserva de ley en materia de datos personales sensibles.</w:t>
      </w:r>
    </w:p>
    <w:p w14:paraId="5AE06FD1"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Las normas combatidas, el artículo 103 de la LMTR y su transitorio trigésimo, publicada en el D.O.F. el día 16 de julio de 2025, delega en una autoridad administrativa, la CRT, la definición de cuestiones atinentes a la sustancia, contenido y alcance del derecho a la protección de datos personales, en particular, la definición de los que serán recolectados, tratados y almacenados de manera obligatoria.</w:t>
      </w:r>
    </w:p>
    <w:p w14:paraId="6F2E97B7"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De esta manera, las normas combatidas vulneran los principios de legalidad, reserva de ley y el derecho de la persona quejosa de seguridad jurídica ya que las interferencias e intromisiones en la vida privada y en la protección de datos personales que las normas combatidas provocan, se pretende que sean definidas en su sustancia, contenido y alcance en una norma reglamentaria y no en una ley formal y material como la Constitución y las normas de derechos humanos de fuente internacional requieren.</w:t>
      </w:r>
    </w:p>
    <w:p w14:paraId="697F2BCF"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Al respecto es pertinente hacer referencia a la Jurisprudencia P./J. 30/2007: </w:t>
      </w:r>
    </w:p>
    <w:p w14:paraId="4EC0866E" w14:textId="77777777" w:rsidR="00001DF2" w:rsidRPr="00A555A1" w:rsidRDefault="00000000">
      <w:pPr>
        <w:spacing w:line="360" w:lineRule="auto"/>
        <w:ind w:left="851" w:right="618"/>
        <w:jc w:val="both"/>
        <w:rPr>
          <w:rFonts w:ascii="Century Gothic" w:eastAsia="Century Gothic" w:hAnsi="Century Gothic" w:cs="Century Gothic"/>
          <w:sz w:val="20"/>
          <w:szCs w:val="20"/>
        </w:rPr>
      </w:pPr>
      <w:r w:rsidRPr="00A555A1">
        <w:rPr>
          <w:rFonts w:ascii="Century Gothic" w:eastAsia="Century Gothic" w:hAnsi="Century Gothic" w:cs="Century Gothic"/>
          <w:sz w:val="20"/>
          <w:szCs w:val="20"/>
        </w:rPr>
        <w:t>Registro digital: 172521; Instancia: Pleno; Novena Época; Materias(s): Constitucional; Tesis: P./J. 30/2007; Fuente: Semanario Judicial de la Federación y su Gaceta. Tomo XXV, Mayo de 2007, página 1515; Tipo: Jurisprudencia</w:t>
      </w:r>
    </w:p>
    <w:p w14:paraId="4AF208D2" w14:textId="77777777" w:rsidR="00001DF2" w:rsidRPr="00A555A1" w:rsidRDefault="00000000">
      <w:pPr>
        <w:spacing w:line="360" w:lineRule="auto"/>
        <w:ind w:left="851" w:right="618"/>
        <w:jc w:val="both"/>
        <w:rPr>
          <w:rFonts w:ascii="Century Gothic" w:eastAsia="Century Gothic" w:hAnsi="Century Gothic" w:cs="Century Gothic"/>
          <w:b/>
          <w:bCs/>
          <w:sz w:val="20"/>
          <w:szCs w:val="20"/>
        </w:rPr>
      </w:pPr>
      <w:r w:rsidRPr="00A555A1">
        <w:rPr>
          <w:rFonts w:ascii="Century Gothic" w:eastAsia="Century Gothic" w:hAnsi="Century Gothic" w:cs="Century Gothic"/>
          <w:b/>
          <w:bCs/>
          <w:sz w:val="20"/>
          <w:szCs w:val="20"/>
        </w:rPr>
        <w:t>FACULTAD REGLAMENTARIA. SUS LÍMITES.</w:t>
      </w:r>
    </w:p>
    <w:p w14:paraId="4249387B" w14:textId="77777777" w:rsidR="00001DF2" w:rsidRPr="00A555A1" w:rsidRDefault="00000000">
      <w:pPr>
        <w:spacing w:line="360" w:lineRule="auto"/>
        <w:ind w:left="851" w:right="618"/>
        <w:jc w:val="both"/>
        <w:rPr>
          <w:rFonts w:ascii="Century Gothic" w:eastAsia="Century Gothic" w:hAnsi="Century Gothic" w:cs="Century Gothic"/>
          <w:sz w:val="20"/>
          <w:szCs w:val="20"/>
        </w:rPr>
      </w:pPr>
      <w:r w:rsidRPr="00A555A1">
        <w:rPr>
          <w:rFonts w:ascii="Century Gothic" w:eastAsia="Century Gothic" w:hAnsi="Century Gothic" w:cs="Century Gothic"/>
          <w:sz w:val="20"/>
          <w:szCs w:val="20"/>
        </w:rPr>
        <w:t xml:space="preserve">La facultad reglamentaria está limitada por los principios de reserva de ley y de subordinación jerárquica. El primero se presenta cuando una norma constitucional reserva expresamente a la ley la regulación de una determinada materia, por lo que excluye la posibilidad de que los aspectos </w:t>
      </w:r>
      <w:r w:rsidRPr="00A555A1">
        <w:rPr>
          <w:rFonts w:ascii="Century Gothic" w:eastAsia="Century Gothic" w:hAnsi="Century Gothic" w:cs="Century Gothic"/>
          <w:sz w:val="20"/>
          <w:szCs w:val="20"/>
        </w:rPr>
        <w:lastRenderedPageBreak/>
        <w:t>de esa reserva sean regulados por disposiciones de naturaleza distinta a la ley, esto es, por un lado, el legislador ordinario ha de establecer por sí mismo la regulación de la materia determinada y, por el otro, la materia reservada no puede regularse por otras normas secundarias, en especial el reglamento. El segundo principio, el de jerarquía normativa, consiste en que el ejercicio de la facultad reglamentaria no puede modificar o alterar el contenido de una ley, es decir, los reglamentos tienen como límite natural los alcances de las disposiciones que dan cuerpo y materia a la ley que reglamentan, detallando sus hipótesis y supuestos normativos de aplicación, sin que pueda contener mayores posibilidades o imponga distintas limitantes a las de la propia ley que va a reglamentar. Así, el ejercicio de la facultad reglamentaria debe realizarse única y exclusivamente dentro de la esfera de atribuciones propias del órgano facultado, pues la norma reglamentaria se emite por facultades explícitas o implícitas previstas en la ley o que de ella derivan, siendo precisamente esa zona donde pueden y deben expedirse reglamentos que provean a la exacta observancia de aquélla, por lo que al ser competencia exclusiva de la ley la determinación del qué, quién, dónde y cuándo de una situación jurídica general, hipotética y abstracta, al reglamento de ejecución competerá, por consecuencia, el cómo de esos mismos supuestos jurídicos. En tal virtud, si el reglamento sólo funciona en la zona del cómo, sus disposiciones podrán referirse a las otras preguntas (qué, quién, dónde y cuándo), siempre que éstas ya estén contestadas por la ley; es decir, el reglamento desenvuelve la obligatoriedad de un principio ya definido por la ley y, por tanto, no puede ir más allá de ella, ni extenderla a supuestos distintos ni mucho menos contradecirla, sino que sólo debe concretarse a indicar los medios para cumplirla y, además, cuando existe reserva de ley no podrá abordar los aspectos materia de tal disposición.</w:t>
      </w:r>
    </w:p>
    <w:p w14:paraId="0E089882"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Así, la CPEUM establece de manera reiterada y explícita que las restricciones al derecho a la protección de datos personales deben establecerse en ley, como a continuación se demuestra:</w:t>
      </w:r>
    </w:p>
    <w:p w14:paraId="7ACF7430"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w:t>
      </w:r>
      <w:r w:rsidRPr="00A555A1">
        <w:rPr>
          <w:rFonts w:ascii="Century Gothic" w:eastAsia="Century Gothic" w:hAnsi="Century Gothic" w:cs="Century Gothic"/>
        </w:rPr>
        <w:tab/>
      </w:r>
      <w:r w:rsidRPr="00A555A1">
        <w:rPr>
          <w:rFonts w:ascii="Century Gothic" w:eastAsia="Century Gothic" w:hAnsi="Century Gothic" w:cs="Century Gothic"/>
          <w:b/>
          <w:bCs/>
        </w:rPr>
        <w:t>Artículo 6°, apartado A, fracción II</w:t>
      </w:r>
      <w:r w:rsidRPr="00A555A1">
        <w:rPr>
          <w:rFonts w:ascii="Century Gothic" w:eastAsia="Century Gothic" w:hAnsi="Century Gothic" w:cs="Century Gothic"/>
        </w:rPr>
        <w:t xml:space="preserve">: La información que se refiere a la vida privada y los datos personales será protegida en los términos y </w:t>
      </w:r>
      <w:r w:rsidRPr="00A555A1">
        <w:rPr>
          <w:rFonts w:ascii="Century Gothic" w:eastAsia="Century Gothic" w:hAnsi="Century Gothic" w:cs="Century Gothic"/>
          <w:b/>
          <w:bCs/>
        </w:rPr>
        <w:t>con las excepciones que fijen las leyes</w:t>
      </w:r>
      <w:r w:rsidRPr="00A555A1">
        <w:rPr>
          <w:rFonts w:ascii="Century Gothic" w:eastAsia="Century Gothic" w:hAnsi="Century Gothic" w:cs="Century Gothic"/>
        </w:rPr>
        <w:t>.</w:t>
      </w:r>
    </w:p>
    <w:p w14:paraId="03A941CA"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w:t>
      </w:r>
      <w:r w:rsidRPr="00A555A1">
        <w:rPr>
          <w:rFonts w:ascii="Century Gothic" w:eastAsia="Century Gothic" w:hAnsi="Century Gothic" w:cs="Century Gothic"/>
        </w:rPr>
        <w:tab/>
      </w:r>
      <w:r w:rsidRPr="00A555A1">
        <w:rPr>
          <w:rFonts w:ascii="Century Gothic" w:eastAsia="Century Gothic" w:hAnsi="Century Gothic" w:cs="Century Gothic"/>
          <w:b/>
          <w:bCs/>
        </w:rPr>
        <w:t>Artículo 16, párrafo segundo:</w:t>
      </w:r>
      <w:r w:rsidRPr="00A555A1">
        <w:rPr>
          <w:rFonts w:ascii="Century Gothic" w:eastAsia="Century Gothic" w:hAnsi="Century Gothic" w:cs="Century Gothic"/>
        </w:rPr>
        <w:t xml:space="preserve"> Toda persona tiene derecho a la protección de sus datos personales, al acceso, rectificación y cancelación de los mismos, así como a manifestar su oposición, </w:t>
      </w:r>
      <w:r w:rsidRPr="00A555A1">
        <w:rPr>
          <w:rFonts w:ascii="Century Gothic" w:eastAsia="Century Gothic" w:hAnsi="Century Gothic" w:cs="Century Gothic"/>
          <w:b/>
          <w:bCs/>
        </w:rPr>
        <w:t>en los términos que fije la ley</w:t>
      </w:r>
      <w:r w:rsidRPr="00A555A1">
        <w:rPr>
          <w:rFonts w:ascii="Century Gothic" w:eastAsia="Century Gothic" w:hAnsi="Century Gothic" w:cs="Century Gothic"/>
        </w:rPr>
        <w:t>.</w:t>
      </w:r>
    </w:p>
    <w:p w14:paraId="0F4D88AD"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lastRenderedPageBreak/>
        <w:t>En este sentido, el artículo 30 de la CADH, el cual forma parte del parámetro de regularidad constitucional</w:t>
      </w:r>
      <w:r w:rsidRPr="00A555A1">
        <w:rPr>
          <w:rFonts w:ascii="Century Gothic" w:eastAsia="Century Gothic" w:hAnsi="Century Gothic" w:cs="Century Gothic"/>
          <w:vertAlign w:val="superscript"/>
        </w:rPr>
        <w:footnoteReference w:id="65"/>
      </w:r>
      <w:r w:rsidRPr="00A555A1">
        <w:rPr>
          <w:rFonts w:ascii="Century Gothic" w:eastAsia="Century Gothic" w:hAnsi="Century Gothic" w:cs="Century Gothic"/>
        </w:rPr>
        <w:t xml:space="preserve"> establece que </w:t>
      </w:r>
      <w:r w:rsidRPr="00A555A1">
        <w:rPr>
          <w:rFonts w:ascii="Century Gothic" w:eastAsia="Century Gothic" w:hAnsi="Century Gothic" w:cs="Century Gothic"/>
          <w:i/>
          <w:iCs/>
        </w:rPr>
        <w:t>“las restricciones permitidas [...] al goce y ejercicio de los derechos y libertades [...] no pueden ser aplicadas sino conforme a leyes que se dicten por razones de interés general y con el propósito para el cual han sido establecidas”</w:t>
      </w:r>
      <w:r w:rsidRPr="00A555A1">
        <w:rPr>
          <w:rFonts w:ascii="Century Gothic" w:eastAsia="Century Gothic" w:hAnsi="Century Gothic" w:cs="Century Gothic"/>
        </w:rPr>
        <w:t>.</w:t>
      </w:r>
    </w:p>
    <w:p w14:paraId="2C81015B"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Al respecto, la Corte IDH en su jurisprudencia reiterada y desde la emisión de la Opinión Consultiva OC6/86</w:t>
      </w:r>
      <w:r w:rsidRPr="00A555A1">
        <w:rPr>
          <w:rFonts w:ascii="Century Gothic" w:eastAsia="Century Gothic" w:hAnsi="Century Gothic" w:cs="Century Gothic"/>
          <w:vertAlign w:val="superscript"/>
        </w:rPr>
        <w:footnoteReference w:id="66"/>
      </w:r>
      <w:r w:rsidRPr="00A555A1">
        <w:rPr>
          <w:rFonts w:ascii="Century Gothic" w:eastAsia="Century Gothic" w:hAnsi="Century Gothic" w:cs="Century Gothic"/>
        </w:rPr>
        <w:t xml:space="preserve">, ha establecido contundentemente que </w:t>
      </w:r>
      <w:r w:rsidRPr="00A555A1">
        <w:rPr>
          <w:rFonts w:ascii="Century Gothic" w:eastAsia="Century Gothic" w:hAnsi="Century Gothic" w:cs="Century Gothic"/>
          <w:i/>
          <w:iCs/>
        </w:rPr>
        <w:t>“la expresión leyes, en el marco de la protección a los derechos humanos, carecería de sentido si con ella no se aludiera a la idea de que la sola determinación del poder público no basta para restringir tales derechos. Lo contrario equivaldría a reconocer una virtualidad absoluta a los poderes de los gobernantes frente a los gobernados. En cambio, el vocablo leyes cobra todo su sentido lógico e histórico si se le considera como una exigencia de la necesaria limitación a la interferencia del poder público en la esfera de los derechos y libertades de la persona humana. La Corte IDH concluye que la expresión leyes, utilizada por el artículo 30, no puede tener otro sentido que el de ley formal, es decir, norma jurídica adoptada por el órgano legislativo y promulgada por el Poder Ejecutivo, según el procedimiento requerido por el derecho interno de cada Estado.”</w:t>
      </w:r>
    </w:p>
    <w:p w14:paraId="6C1DD5D9"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En consonancia con lo anterior, como fue señalado anteriormente, la Segunda Sala de la SCJN ha reconocido, al resolver por unanimidad el Amparo en Revisión 888/2017 (Registro digital: 2015161) que respecto al derecho a la privacidad y a la protección de datos personales debe respetarse el principio de reserva de ley, por lo que no pueden delegarse facultades legislativas a favor de una autoridad administrativa </w:t>
      </w:r>
      <w:r w:rsidRPr="00A555A1">
        <w:rPr>
          <w:rFonts w:ascii="Century Gothic" w:eastAsia="Century Gothic" w:hAnsi="Century Gothic" w:cs="Century Gothic"/>
        </w:rPr>
        <w:lastRenderedPageBreak/>
        <w:t>cuestiones atinentes a la sustancia, contenido y alcance del derecho a la protección de datos personales.</w:t>
      </w:r>
    </w:p>
    <w:p w14:paraId="4FA1E536"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Pese a este estricto parámetro de regularidad, el Poder Legislativo incurrió en una violación directa al principio de reserva de ley al emitir el Artículo 103 de la LMTR, pues dicho precepto establece la obligación de que los concesionarios activen líneas previa identificación oficial, pero delega que esto se hará </w:t>
      </w:r>
      <w:r w:rsidRPr="00A555A1">
        <w:rPr>
          <w:rFonts w:ascii="Century Gothic" w:eastAsia="Century Gothic" w:hAnsi="Century Gothic" w:cs="Century Gothic"/>
          <w:i/>
          <w:iCs/>
        </w:rPr>
        <w:t>"conforme a los lineamientos que para tal efecto emita la Comisión"</w:t>
      </w:r>
      <w:r w:rsidRPr="00A555A1">
        <w:rPr>
          <w:rFonts w:ascii="Century Gothic" w:eastAsia="Century Gothic" w:hAnsi="Century Gothic" w:cs="Century Gothic"/>
        </w:rPr>
        <w:t xml:space="preserve"> (CRT).</w:t>
      </w:r>
    </w:p>
    <w:p w14:paraId="10E31A5E"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Esta norma delega en una autoridad administrativa desconcentrada (la CRT) la definición de cuestiones atinentes a la sustancia, contenido y alcance de derechos constitucionales.</w:t>
      </w:r>
    </w:p>
    <w:p w14:paraId="73774224" w14:textId="398DDBD8"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Derivado de esta omisión legislativa la CRT emitió </w:t>
      </w:r>
      <w:r w:rsidR="00CF3503" w:rsidRPr="00A555A1">
        <w:rPr>
          <w:rFonts w:ascii="Century Gothic" w:eastAsia="Century Gothic" w:hAnsi="Century Gothic" w:cs="Century Gothic"/>
        </w:rPr>
        <w:t>los Lineamientos</w:t>
      </w:r>
      <w:r w:rsidRPr="00A555A1">
        <w:rPr>
          <w:rFonts w:ascii="Century Gothic" w:eastAsia="Century Gothic" w:hAnsi="Century Gothic" w:cs="Century Gothic"/>
        </w:rPr>
        <w:t xml:space="preserve">, </w:t>
      </w:r>
      <w:r w:rsidR="00CF3503" w:rsidRPr="00A555A1">
        <w:rPr>
          <w:rFonts w:ascii="Century Gothic" w:eastAsia="Century Gothic" w:hAnsi="Century Gothic" w:cs="Century Gothic"/>
        </w:rPr>
        <w:t xml:space="preserve">incurriendo en un </w:t>
      </w:r>
      <w:r w:rsidRPr="00A555A1">
        <w:rPr>
          <w:rFonts w:ascii="Century Gothic" w:eastAsia="Century Gothic" w:hAnsi="Century Gothic" w:cs="Century Gothic"/>
        </w:rPr>
        <w:t xml:space="preserve">fraude a la Constitución, asumiendo el rol de legislador e imponiendo restricciones sustantivas que no existen en la LMTR. </w:t>
      </w:r>
    </w:p>
    <w:p w14:paraId="41314F8C"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Para demostrar la violación al principio de reserva de ley, el artículo 10</w:t>
      </w:r>
      <w:r w:rsidRPr="00A555A1">
        <w:rPr>
          <w:rFonts w:ascii="Century Gothic" w:eastAsia="Century Gothic" w:hAnsi="Century Gothic" w:cs="Century Gothic"/>
          <w:vertAlign w:val="superscript"/>
        </w:rPr>
        <w:footnoteReference w:id="67"/>
      </w:r>
      <w:r w:rsidRPr="00A555A1">
        <w:rPr>
          <w:rFonts w:ascii="Century Gothic" w:eastAsia="Century Gothic" w:hAnsi="Century Gothic" w:cs="Century Gothic"/>
        </w:rPr>
        <w:t xml:space="preserve"> de los Lineamientos prohíbe a una persona física vincular más de 10 líneas telefónicas a su nombre, restricción que es abiertamente inconstitucional, pues el artículo 6° tercer párrafo, apartado B, fracción II de la CPEUM</w:t>
      </w:r>
      <w:r w:rsidRPr="00A555A1">
        <w:rPr>
          <w:rFonts w:ascii="Century Gothic" w:eastAsia="Century Gothic" w:hAnsi="Century Gothic" w:cs="Century Gothic"/>
          <w:vertAlign w:val="superscript"/>
        </w:rPr>
        <w:footnoteReference w:id="68"/>
      </w:r>
      <w:r w:rsidRPr="00A555A1">
        <w:rPr>
          <w:rFonts w:ascii="Century Gothic" w:eastAsia="Century Gothic" w:hAnsi="Century Gothic" w:cs="Century Gothic"/>
        </w:rPr>
        <w:t xml:space="preserve"> garantiza el derecho de acceso a las telecomunicaciones, y el artículo 103 de la LMTR únicamente obliga a asociar la línea a una identificación, pero en ninguna parte de la LMTR el Congreso de la Unión estableció un límite máximo de líneas que un ciudadano puede poseer.</w:t>
      </w:r>
    </w:p>
    <w:p w14:paraId="1BC57A10"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Al imponer un tope máximo de 10 líneas en una disposición de carácter administrativo, la CRT se extralimitó y legisló sobre un derecho </w:t>
      </w:r>
      <w:r w:rsidRPr="00A555A1">
        <w:rPr>
          <w:rFonts w:ascii="Century Gothic" w:eastAsia="Century Gothic" w:hAnsi="Century Gothic" w:cs="Century Gothic"/>
        </w:rPr>
        <w:lastRenderedPageBreak/>
        <w:t xml:space="preserve">sustantivo, coartando la libertad de contratación, el acceso a las telecomunicaciones y el libre comercio; o bien, dicho de otra manera, si el Estado mexicano deseaba limitar a los ciudadanos el número de dispositivos de comunicación que pueden poseer (restringiendo con ello su acceso Internet, al sistema financiero, al trabajo o a la libertad de empresa), </w:t>
      </w:r>
      <w:r w:rsidRPr="00A555A1">
        <w:rPr>
          <w:rFonts w:ascii="Century Gothic" w:eastAsia="Century Gothic" w:hAnsi="Century Gothic" w:cs="Century Gothic"/>
          <w:b/>
          <w:bCs/>
        </w:rPr>
        <w:t>dicha limitación debió ser debatida y aprobada expresamente por el Congreso de la Unión en una Ley Reglamentaria (la LMTR), no impuesta por un órgano administrativo</w:t>
      </w:r>
      <w:r w:rsidRPr="00A555A1">
        <w:rPr>
          <w:rFonts w:ascii="Century Gothic" w:eastAsia="Century Gothic" w:hAnsi="Century Gothic" w:cs="Century Gothic"/>
        </w:rPr>
        <w:t>.</w:t>
      </w:r>
    </w:p>
    <w:p w14:paraId="01E8873E"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Más grave aún resulta la violación al principio de legalidad cuando la propia autoridad administrativa crea </w:t>
      </w:r>
      <w:r w:rsidRPr="00A555A1">
        <w:rPr>
          <w:rFonts w:ascii="Century Gothic" w:eastAsia="Century Gothic" w:hAnsi="Century Gothic" w:cs="Century Gothic"/>
          <w:b/>
          <w:bCs/>
        </w:rPr>
        <w:t>excepciones caprichosas</w:t>
      </w:r>
      <w:r w:rsidRPr="00A555A1">
        <w:rPr>
          <w:rFonts w:ascii="Century Gothic" w:eastAsia="Century Gothic" w:hAnsi="Century Gothic" w:cs="Century Gothic"/>
        </w:rPr>
        <w:t xml:space="preserve"> a esta regla (como exentar de los Lineamientos a los usuarios de </w:t>
      </w:r>
      <w:r w:rsidRPr="00A555A1">
        <w:rPr>
          <w:rFonts w:ascii="Century Gothic" w:eastAsia="Century Gothic" w:hAnsi="Century Gothic" w:cs="Century Gothic"/>
          <w:i/>
          <w:iCs/>
        </w:rPr>
        <w:t>roaming</w:t>
      </w:r>
      <w:r w:rsidRPr="00A555A1">
        <w:rPr>
          <w:rFonts w:ascii="Century Gothic" w:eastAsia="Century Gothic" w:hAnsi="Century Gothic" w:cs="Century Gothic"/>
        </w:rPr>
        <w:t xml:space="preserve"> internacional durante el Mundial de 2026, o establecer regímenes asimétricos entre nacionales y extranjeros). Estas excepciones demuestran que la limitante no obedece a un imperativo técnico de la red (lo cual sí sería competencia de la CRT), sino a una política de seguridad pública impuesta arbitrariamente a través de un reglamento, dejando en total indefensión y discriminación a los mexicanos frente a un acto carente de respaldo legislativo formal.</w:t>
      </w:r>
    </w:p>
    <w:p w14:paraId="5098F751" w14:textId="707871B0"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Del mismo modo, ante la omisión del Congreso de delimitar estrictamente en el artículo 103 de la LMTR qué implica </w:t>
      </w:r>
      <w:r w:rsidRPr="00A555A1">
        <w:rPr>
          <w:rFonts w:ascii="Century Gothic" w:eastAsia="Century Gothic" w:hAnsi="Century Gothic" w:cs="Century Gothic"/>
          <w:b/>
          <w:bCs/>
        </w:rPr>
        <w:t>"identificarse"</w:t>
      </w:r>
      <w:r w:rsidRPr="00A555A1">
        <w:rPr>
          <w:rFonts w:ascii="Century Gothic" w:eastAsia="Century Gothic" w:hAnsi="Century Gothic" w:cs="Century Gothic"/>
        </w:rPr>
        <w:t xml:space="preserve">, la CRT introdujo en sus Lineamientos la invasiva </w:t>
      </w:r>
      <w:r w:rsidRPr="00A555A1">
        <w:rPr>
          <w:rFonts w:ascii="Century Gothic" w:eastAsia="Century Gothic" w:hAnsi="Century Gothic" w:cs="Century Gothic"/>
          <w:b/>
          <w:bCs/>
        </w:rPr>
        <w:t>"Prueba de Vida"</w:t>
      </w:r>
      <w:r w:rsidRPr="00A555A1">
        <w:rPr>
          <w:rFonts w:ascii="Century Gothic" w:eastAsia="Century Gothic" w:hAnsi="Century Gothic" w:cs="Century Gothic"/>
        </w:rPr>
        <w:t xml:space="preserve">, remota, delegando su ejecución a las empresas concesionarias. Esto provocó que concesionarios como la hoy responsable, imponga hoy en su Aviso de Privacidad la obligación de someter a los ciudadanos a validaciones mediante algoritmos de reconocimiento y comparación facial, como la comparación de rasgos faciales entre dos imágenes y recabar datos sensibles como </w:t>
      </w:r>
      <w:r w:rsidR="009D3192" w:rsidRPr="00A555A1">
        <w:rPr>
          <w:rFonts w:ascii="Century Gothic" w:eastAsia="Century Gothic" w:hAnsi="Century Gothic" w:cs="Century Gothic"/>
        </w:rPr>
        <w:t>imagen facial, grabaciones de voz, huella dactilar y reconocimiento facial</w:t>
      </w:r>
      <w:r w:rsidRPr="00A555A1">
        <w:rPr>
          <w:rFonts w:ascii="Century Gothic" w:eastAsia="Century Gothic" w:hAnsi="Century Gothic" w:cs="Century Gothic"/>
        </w:rPr>
        <w:t>.</w:t>
      </w:r>
    </w:p>
    <w:p w14:paraId="1754B533"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Por último, la inconstitucionalidad de esta delegación normativa alcanza su punto más grave al dejar al usuario en un estado de absoluta indefensión frente a las concesionarias de telecomunicaciones, porque al exigir el cumplimiento del Artículo 103 de la LMTR bajo la sanción de suspenderle el servicio telefónico, el Estado obliga al ciudadano a aceptar incondicionalmente las políticas de privacidad de los concesionarios.</w:t>
      </w:r>
    </w:p>
    <w:p w14:paraId="27B816AF"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La CRT pretende subsanar la invasión a la intimidad estableciendo en el Artículo 44 de los Lineamientos lo siguiente: "En ningún caso los Proveedores de Servicio Móvil conservarán ningún dato biométrico, </w:t>
      </w:r>
      <w:r w:rsidRPr="00A555A1">
        <w:rPr>
          <w:rFonts w:ascii="Century Gothic" w:eastAsia="Century Gothic" w:hAnsi="Century Gothic" w:cs="Century Gothic"/>
        </w:rPr>
        <w:lastRenderedPageBreak/>
        <w:t>fotografía, copia de Identificación Oficial, ni ningún otro documento de los Titulares o Usuarios."</w:t>
      </w:r>
    </w:p>
    <w:p w14:paraId="5C4AF10B" w14:textId="402AB17A"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Sin embargo, a la luz del desarrollo tecnológico y </w:t>
      </w:r>
      <w:r w:rsidR="009D3192" w:rsidRPr="00A555A1">
        <w:rPr>
          <w:rFonts w:ascii="Century Gothic" w:eastAsia="Century Gothic" w:hAnsi="Century Gothic" w:cs="Century Gothic"/>
        </w:rPr>
        <w:t>la propia confesión</w:t>
      </w:r>
      <w:r w:rsidRPr="00A555A1">
        <w:rPr>
          <w:rFonts w:ascii="Century Gothic" w:eastAsia="Century Gothic" w:hAnsi="Century Gothic" w:cs="Century Gothic"/>
        </w:rPr>
        <w:t xml:space="preserve"> de la concesionaria responsable, esta disposición administrativa resulta ser una </w:t>
      </w:r>
      <w:r w:rsidRPr="00A555A1">
        <w:rPr>
          <w:rFonts w:ascii="Century Gothic" w:eastAsia="Century Gothic" w:hAnsi="Century Gothic" w:cs="Century Gothic"/>
          <w:b/>
          <w:bCs/>
        </w:rPr>
        <w:t>falacia regulatoria y un fraude a la ley</w:t>
      </w:r>
      <w:r w:rsidRPr="00A555A1">
        <w:rPr>
          <w:rFonts w:ascii="Century Gothic" w:eastAsia="Century Gothic" w:hAnsi="Century Gothic" w:cs="Century Gothic"/>
        </w:rPr>
        <w:t xml:space="preserve">, ya que prohibir la "conservación" (el almacenamiento físico o en disco de un archivo de imagen o video) no es equivalente a prohibir el "tratamiento" o procesamiento efímero de esos datos para entrenar algoritmos, lo cual vulnera de manera irreversible el </w:t>
      </w:r>
      <w:r w:rsidR="00D726DC">
        <w:rPr>
          <w:rFonts w:ascii="Century Gothic" w:eastAsia="Century Gothic" w:hAnsi="Century Gothic" w:cs="Century Gothic"/>
        </w:rPr>
        <w:t>principio</w:t>
      </w:r>
      <w:r w:rsidRPr="00A555A1">
        <w:rPr>
          <w:rFonts w:ascii="Century Gothic" w:eastAsia="Century Gothic" w:hAnsi="Century Gothic" w:cs="Century Gothic"/>
        </w:rPr>
        <w:t xml:space="preserve"> a la autodeterminación informativa.</w:t>
      </w:r>
    </w:p>
    <w:p w14:paraId="420E190C" w14:textId="2380CEDA" w:rsidR="00001DF2" w:rsidRPr="00A555A1" w:rsidRDefault="00F03788">
      <w:pPr>
        <w:spacing w:line="360" w:lineRule="auto"/>
        <w:ind w:firstLine="1418"/>
        <w:jc w:val="both"/>
        <w:rPr>
          <w:rFonts w:ascii="Century Gothic" w:eastAsia="Century Gothic" w:hAnsi="Century Gothic" w:cs="Century Gothic"/>
        </w:rPr>
      </w:pPr>
      <w:r w:rsidRPr="00F03788">
        <w:rPr>
          <w:rFonts w:ascii="Century Gothic" w:eastAsia="Century Gothic" w:hAnsi="Century Gothic" w:cs="Century Gothic"/>
        </w:rPr>
        <w:t>{{INICIA_ATT}}</w:t>
      </w:r>
      <w:r>
        <w:rPr>
          <w:rFonts w:ascii="Century Gothic" w:eastAsia="Century Gothic" w:hAnsi="Century Gothic" w:cs="Century Gothic"/>
        </w:rPr>
        <w:t xml:space="preserve"> </w:t>
      </w:r>
      <w:r w:rsidRPr="00A555A1">
        <w:rPr>
          <w:rFonts w:ascii="Century Gothic" w:eastAsia="Century Gothic" w:hAnsi="Century Gothic" w:cs="Century Gothic"/>
        </w:rPr>
        <w:t xml:space="preserve">El agravio se materializa, al contrastar el referido artículo 44 de los Lineamientos con lo que el Aviso de Privacidad Integral de la concesionaria responsable impone en su página 5: </w:t>
      </w:r>
      <w:r w:rsidRPr="00A555A1">
        <w:rPr>
          <w:rFonts w:ascii="Century Gothic" w:eastAsia="Century Gothic" w:hAnsi="Century Gothic" w:cs="Century Gothic"/>
          <w:i/>
          <w:iCs/>
        </w:rPr>
        <w:t>"AT&amp;T empleará procesos automatizados sin intervención humana con el uso de herramienta de Inteligencia Artificial. Asimismo, AT&amp;T México utilizará sus datos personales para el entrenamiento y mejora de las habilidades de sus herramientas de Inteligencia Artificial"</w:t>
      </w:r>
      <w:r w:rsidRPr="00A555A1">
        <w:rPr>
          <w:rFonts w:ascii="Century Gothic" w:eastAsia="Century Gothic" w:hAnsi="Century Gothic" w:cs="Century Gothic"/>
        </w:rPr>
        <w:t xml:space="preserve">. </w:t>
      </w:r>
    </w:p>
    <w:p w14:paraId="31E3CA56"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En ese sentido, para llevar a el registro exigido por las normas combatidas, el sistema realiza la "comparación de rasgos faciales entre dos imágenes" (página 5 del Aviso de Privacidad Integral) y extraer la “Prueba de vida a través de Imagen en video o fotografía” (página 3 del Aviso de Privacidad Integral). </w:t>
      </w:r>
    </w:p>
    <w:p w14:paraId="0AD60B14"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Al realizar este cruce de información entre la identificación y el rostro vivo del usuario, la Inteligencia Artificial procesa la geometría facial, es decir, </w:t>
      </w:r>
      <w:r w:rsidRPr="00A555A1">
        <w:rPr>
          <w:rFonts w:ascii="Century Gothic" w:eastAsia="Century Gothic" w:hAnsi="Century Gothic" w:cs="Century Gothic"/>
          <w:b/>
          <w:bCs/>
        </w:rPr>
        <w:t>aunque la concesionaria responsable borre la fotografía inmediatamente para simular el cumplimiento del artículo 44 de los Lineamientos, los datos biométricos ya fueron tratados y utilizados para "el entrenamiento y mejora" de la IA</w:t>
      </w:r>
      <w:r w:rsidRPr="00A555A1">
        <w:rPr>
          <w:rFonts w:ascii="Century Gothic" w:eastAsia="Century Gothic" w:hAnsi="Century Gothic" w:cs="Century Gothic"/>
        </w:rPr>
        <w:t>, por lo que el aprendizaje algorítmico derivado de las facciones de la persona usuaria queda retenido de facto en la red neuronal</w:t>
      </w:r>
      <w:r w:rsidRPr="00A555A1">
        <w:rPr>
          <w:rFonts w:ascii="Century Gothic" w:eastAsia="Century Gothic" w:hAnsi="Century Gothic" w:cs="Century Gothic"/>
          <w:vertAlign w:val="superscript"/>
        </w:rPr>
        <w:footnoteReference w:id="69"/>
      </w:r>
      <w:r w:rsidRPr="00A555A1">
        <w:rPr>
          <w:rFonts w:ascii="Century Gothic" w:eastAsia="Century Gothic" w:hAnsi="Century Gothic" w:cs="Century Gothic"/>
        </w:rPr>
        <w:t>.</w:t>
      </w:r>
    </w:p>
    <w:p w14:paraId="5073BCD4" w14:textId="4041D049"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lastRenderedPageBreak/>
        <w:t xml:space="preserve">Por lo tanto, cuando el Aviso de Privacidad de la concesionaria responsable coacciona a la quejosa a someter su rostro a una </w:t>
      </w:r>
      <w:r w:rsidR="003713A4" w:rsidRPr="00A555A1">
        <w:rPr>
          <w:rFonts w:ascii="Century Gothic" w:eastAsia="Century Gothic" w:hAnsi="Century Gothic" w:cs="Century Gothic"/>
        </w:rPr>
        <w:t>“</w:t>
      </w:r>
      <w:r w:rsidRPr="00A555A1">
        <w:rPr>
          <w:rFonts w:ascii="Century Gothic" w:eastAsia="Century Gothic" w:hAnsi="Century Gothic" w:cs="Century Gothic"/>
        </w:rPr>
        <w:t>comparación de rasgos faciales</w:t>
      </w:r>
      <w:r w:rsidR="003713A4" w:rsidRPr="00A555A1">
        <w:rPr>
          <w:rFonts w:ascii="Century Gothic" w:eastAsia="Century Gothic" w:hAnsi="Century Gothic" w:cs="Century Gothic"/>
        </w:rPr>
        <w:t>”</w:t>
      </w:r>
      <w:r w:rsidRPr="00A555A1">
        <w:rPr>
          <w:rFonts w:ascii="Century Gothic" w:eastAsia="Century Gothic" w:hAnsi="Century Gothic" w:cs="Century Gothic"/>
        </w:rPr>
        <w:t xml:space="preserve">, está inyectando su biometría en una red neuronal, por lo que, aunque elimine el archivo de imagen (.JPG, .PNG o video) para simular el cumplimiento del artículo 44 de los Lineamientos, el tratamiento ya se materializó, esto porque las ponderaciones matemáticas y los patrones biométricos faciales de la quejosa ya generaron nuevas conexiones en el algoritmo. </w:t>
      </w:r>
    </w:p>
    <w:p w14:paraId="0320048F" w14:textId="39034380"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Esta invasión se agrava ante la opacidad en la cadena de suministro de la concesionaria responsable, pues el propio aviso de AT&amp;T reconoce la existencia de una </w:t>
      </w:r>
      <w:r w:rsidRPr="00A555A1">
        <w:rPr>
          <w:rFonts w:ascii="Century Gothic" w:eastAsia="Century Gothic" w:hAnsi="Century Gothic" w:cs="Century Gothic"/>
          <w:i/>
          <w:iCs/>
        </w:rPr>
        <w:t>"Persona Encargada"(</w:t>
      </w:r>
      <w:r w:rsidRPr="00A555A1">
        <w:rPr>
          <w:rFonts w:ascii="Century Gothic" w:eastAsia="Century Gothic" w:hAnsi="Century Gothic" w:cs="Century Gothic"/>
        </w:rPr>
        <w:t xml:space="preserve">página 2 del Aviso de Privacidad Integral), es decir, un tercero ajeno que trata los datos por cuenta de la concesionaria responsable. De esta manera, el dato personal sensible fue irreversiblemente asimilado para el entrenamiento de la herramienta tecnológica, </w:t>
      </w:r>
      <w:r w:rsidR="00BC54D1" w:rsidRPr="00BC54D1">
        <w:rPr>
          <w:rFonts w:ascii="Century Gothic" w:eastAsia="Century Gothic" w:hAnsi="Century Gothic" w:cs="Century Gothic"/>
        </w:rPr>
        <w:t>violando el principio de autodeterminación informativa de la usuaria sin que existiera una Ley formal que avalara dicho tratamiento</w:t>
      </w:r>
      <w:r w:rsidRPr="00A555A1">
        <w:rPr>
          <w:rFonts w:ascii="Century Gothic" w:eastAsia="Century Gothic" w:hAnsi="Century Gothic" w:cs="Century Gothic"/>
        </w:rPr>
        <w:t>, por lo que el Estado mexicano no garantiza la existencia de Acuerdos de Procesamiento de Datos</w:t>
      </w:r>
      <w:r w:rsidRPr="00A555A1">
        <w:rPr>
          <w:rFonts w:ascii="Century Gothic" w:eastAsia="Century Gothic" w:hAnsi="Century Gothic" w:cs="Century Gothic"/>
          <w:vertAlign w:val="superscript"/>
        </w:rPr>
        <w:footnoteReference w:id="70"/>
      </w:r>
      <w:r w:rsidRPr="00A555A1">
        <w:rPr>
          <w:rFonts w:ascii="Century Gothic" w:eastAsia="Century Gothic" w:hAnsi="Century Gothic" w:cs="Century Gothic"/>
        </w:rPr>
        <w:t xml:space="preserve"> (DPA, por sus siglas en inglés) que limiten el actuar de estas Inteligencias Artificiales de terceros.</w:t>
      </w:r>
    </w:p>
    <w:p w14:paraId="7E5B98DE"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En los estándares tecnológicos globales, los proveedores de nube —como es el caso de Google en su </w:t>
      </w:r>
      <w:r w:rsidRPr="00A555A1">
        <w:rPr>
          <w:rFonts w:ascii="Century Gothic" w:eastAsia="Century Gothic" w:hAnsi="Century Gothic" w:cs="Century Gothic"/>
          <w:i/>
          <w:iCs/>
        </w:rPr>
        <w:t>Anexo de Tratamiento de Datos de Cloud</w:t>
      </w:r>
      <w:r w:rsidRPr="00A555A1">
        <w:rPr>
          <w:rFonts w:ascii="Century Gothic" w:eastAsia="Century Gothic" w:hAnsi="Century Gothic" w:cs="Century Gothic"/>
        </w:rPr>
        <w:t xml:space="preserve"> citado como ejemplo— imponen rigurosos DPA para proteger la información. Mediante contrato escrito, estos corporativos garantizan que cualquier tercero o Subencargado acceda y utilice los datos de los clientes única y exclusivamente en la medida necesaria para cumplir con las obligaciones subcontratadas</w:t>
      </w:r>
      <w:r w:rsidRPr="00A555A1">
        <w:rPr>
          <w:rFonts w:ascii="Century Gothic" w:eastAsia="Century Gothic" w:hAnsi="Century Gothic" w:cs="Century Gothic"/>
          <w:vertAlign w:val="superscript"/>
        </w:rPr>
        <w:footnoteReference w:id="71"/>
      </w:r>
      <w:r w:rsidRPr="00A555A1">
        <w:rPr>
          <w:rFonts w:ascii="Century Gothic" w:eastAsia="Century Gothic" w:hAnsi="Century Gothic" w:cs="Century Gothic"/>
        </w:rPr>
        <w:t xml:space="preserve">. Como medida precautoria, antes de permitirles el acceso </w:t>
      </w:r>
      <w:r w:rsidRPr="00A555A1">
        <w:rPr>
          <w:rFonts w:ascii="Century Gothic" w:eastAsia="Century Gothic" w:hAnsi="Century Gothic" w:cs="Century Gothic"/>
        </w:rPr>
        <w:lastRenderedPageBreak/>
        <w:t>a la información, los Subencargados son sometidos a auditorías estrictas sobre sus prácticas de seguridad y privacidad</w:t>
      </w:r>
      <w:r w:rsidRPr="00A555A1">
        <w:rPr>
          <w:rFonts w:ascii="Century Gothic" w:eastAsia="Century Gothic" w:hAnsi="Century Gothic" w:cs="Century Gothic"/>
          <w:vertAlign w:val="superscript"/>
        </w:rPr>
        <w:footnoteReference w:id="72"/>
      </w:r>
      <w:r w:rsidRPr="00A555A1">
        <w:rPr>
          <w:rFonts w:ascii="Century Gothic" w:eastAsia="Century Gothic" w:hAnsi="Century Gothic" w:cs="Century Gothic"/>
        </w:rPr>
        <w:t>.</w:t>
      </w:r>
    </w:p>
    <w:p w14:paraId="1B048253"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No obstante, bajo la laxa y deficiente regulación de la CRT, el consumidor ignora si la "Persona Encargada" de proveer la Inteligencia Artificial a la concesionaria responsable está sujeta a este nivel de exigencia y protección. Al omitirse la obligación legal de transparentar y auditar estos DPA, la quejosa desconoce si el tercero tiene prohibido contractualmente apropiarse de la información o si, por el contrario, utiliza la biometría y el cruce de identificaciones de los mexicanos para entrenar sus propios modelos de Inteligencia Artificial.</w:t>
      </w:r>
    </w:p>
    <w:p w14:paraId="421E144E" w14:textId="77777777" w:rsidR="00F03788" w:rsidRPr="00F03788" w:rsidRDefault="00000000" w:rsidP="00F03788">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Es aquí donde se actualiza una grave vulneración a la seguridad jurídica. </w:t>
      </w:r>
      <w:r w:rsidRPr="00A555A1">
        <w:rPr>
          <w:rFonts w:ascii="Century Gothic" w:eastAsia="Century Gothic" w:hAnsi="Century Gothic" w:cs="Century Gothic"/>
          <w:b/>
          <w:bCs/>
        </w:rPr>
        <w:t xml:space="preserve">Al no existir una ley formal que delimite estos procesos, el Estado no garantiza que existan DPA rigurosos, públicos y auditables entre AT&amp;T y las </w:t>
      </w:r>
      <w:r w:rsidRPr="00A555A1">
        <w:rPr>
          <w:rFonts w:ascii="Century Gothic" w:eastAsia="Century Gothic" w:hAnsi="Century Gothic" w:cs="Century Gothic"/>
          <w:b/>
          <w:bCs/>
          <w:i/>
          <w:iCs/>
        </w:rPr>
        <w:t>Personas Encargadas</w:t>
      </w:r>
      <w:r w:rsidRPr="00A555A1">
        <w:rPr>
          <w:rFonts w:ascii="Century Gothic" w:eastAsia="Century Gothic" w:hAnsi="Century Gothic" w:cs="Century Gothic"/>
        </w:rPr>
        <w:t>.</w:t>
      </w:r>
      <w:r w:rsidR="00F03788">
        <w:rPr>
          <w:rFonts w:ascii="Century Gothic" w:eastAsia="Century Gothic" w:hAnsi="Century Gothic" w:cs="Century Gothic"/>
        </w:rPr>
        <w:t xml:space="preserve"> </w:t>
      </w:r>
      <w:r w:rsidR="00F03788" w:rsidRPr="00F03788">
        <w:rPr>
          <w:rFonts w:ascii="Century Gothic" w:eastAsia="Century Gothic" w:hAnsi="Century Gothic" w:cs="Century Gothic"/>
        </w:rPr>
        <w:t>{{TERMINA_ATT}}</w:t>
      </w:r>
    </w:p>
    <w:p w14:paraId="7DCEA138" w14:textId="03AF8346" w:rsidR="00D16AE1" w:rsidRPr="00A555A1" w:rsidRDefault="00ED45CE" w:rsidP="00E85934">
      <w:pPr>
        <w:spacing w:line="360" w:lineRule="auto"/>
        <w:ind w:firstLine="1418"/>
        <w:jc w:val="both"/>
        <w:rPr>
          <w:rFonts w:ascii="Century Gothic" w:eastAsia="Century Gothic" w:hAnsi="Century Gothic" w:cs="Century Gothic"/>
        </w:rPr>
      </w:pPr>
      <w:r w:rsidRPr="00ED45CE">
        <w:rPr>
          <w:rFonts w:ascii="Century Gothic" w:eastAsia="Century Gothic" w:hAnsi="Century Gothic" w:cs="Century Gothic"/>
        </w:rPr>
        <w:t>{{INICIA_TELCEL}}</w:t>
      </w:r>
      <w:r w:rsidR="00F03788">
        <w:rPr>
          <w:rFonts w:ascii="Century Gothic" w:eastAsia="Century Gothic" w:hAnsi="Century Gothic" w:cs="Century Gothic"/>
        </w:rPr>
        <w:t xml:space="preserve"> </w:t>
      </w:r>
      <w:r w:rsidR="00D16AE1" w:rsidRPr="00A555A1">
        <w:rPr>
          <w:rFonts w:ascii="Century Gothic" w:eastAsia="Century Gothic" w:hAnsi="Century Gothic" w:cs="Century Gothic"/>
        </w:rPr>
        <w:t xml:space="preserve">El agravio se materializa, al contrastar el referido artículo 44 de los Lineamientos con lo que el Aviso de Privacidad de Clientes Vigente de la concesionaria responsable impone </w:t>
      </w:r>
      <w:r w:rsidR="00E85934" w:rsidRPr="00A555A1">
        <w:rPr>
          <w:rFonts w:ascii="Century Gothic" w:eastAsia="Century Gothic" w:hAnsi="Century Gothic" w:cs="Century Gothic"/>
        </w:rPr>
        <w:t xml:space="preserve">en el apartado de “Finalidades primarias del tratamiento”: Telcel hará uso de </w:t>
      </w:r>
      <w:r w:rsidR="00E85934" w:rsidRPr="00A555A1">
        <w:rPr>
          <w:rFonts w:ascii="Century Gothic" w:eastAsia="Century Gothic" w:hAnsi="Century Gothic" w:cs="Century Gothic"/>
          <w:i/>
          <w:iCs/>
        </w:rPr>
        <w:t>"procedimientos de análisis de datos y tratamientos automatizados"</w:t>
      </w:r>
      <w:r w:rsidR="00E85934" w:rsidRPr="00A555A1">
        <w:rPr>
          <w:rFonts w:ascii="Century Gothic" w:eastAsia="Century Gothic" w:hAnsi="Century Gothic" w:cs="Century Gothic"/>
        </w:rPr>
        <w:t xml:space="preserve">. Asimismo, Telcel utilizará sus datos personales para </w:t>
      </w:r>
      <w:r w:rsidR="00E85934" w:rsidRPr="00A555A1">
        <w:rPr>
          <w:rFonts w:ascii="Century Gothic" w:eastAsia="Century Gothic" w:hAnsi="Century Gothic" w:cs="Century Gothic"/>
          <w:i/>
          <w:iCs/>
        </w:rPr>
        <w:t>"generar perfiles, segmentaciones y predicciones crediticias"</w:t>
      </w:r>
      <w:r w:rsidR="00D45913" w:rsidRPr="00A555A1">
        <w:rPr>
          <w:rFonts w:ascii="Century Gothic" w:eastAsia="Century Gothic" w:hAnsi="Century Gothic" w:cs="Century Gothic"/>
        </w:rPr>
        <w:t xml:space="preserve">, así como </w:t>
      </w:r>
      <w:r w:rsidR="00D45913" w:rsidRPr="00A555A1">
        <w:rPr>
          <w:rFonts w:ascii="Century Gothic" w:eastAsia="Century Gothic" w:hAnsi="Century Gothic" w:cs="Century Gothic"/>
          <w:i/>
          <w:iCs/>
        </w:rPr>
        <w:t>“dar cumplimiento a obligaciones previstas en la normatividad aplicable”</w:t>
      </w:r>
      <w:r w:rsidR="00D45913" w:rsidRPr="00A555A1">
        <w:rPr>
          <w:rFonts w:ascii="Century Gothic" w:eastAsia="Century Gothic" w:hAnsi="Century Gothic" w:cs="Century Gothic"/>
        </w:rPr>
        <w:t>.</w:t>
      </w:r>
    </w:p>
    <w:p w14:paraId="34B35D92" w14:textId="46FFF885" w:rsidR="00D45913" w:rsidRPr="00A555A1" w:rsidRDefault="00D16AE1" w:rsidP="00D45913">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En ese sentido, para llevar a el registro exigido por las normas combatidas, el sistema </w:t>
      </w:r>
      <w:r w:rsidR="00D45913" w:rsidRPr="00A555A1">
        <w:rPr>
          <w:rFonts w:ascii="Century Gothic" w:eastAsia="Century Gothic" w:hAnsi="Century Gothic" w:cs="Century Gothic"/>
        </w:rPr>
        <w:t xml:space="preserve">recaba los </w:t>
      </w:r>
      <w:r w:rsidR="00D45913" w:rsidRPr="00A555A1">
        <w:rPr>
          <w:rFonts w:ascii="Century Gothic" w:eastAsia="Century Gothic" w:hAnsi="Century Gothic" w:cs="Century Gothic"/>
          <w:i/>
          <w:iCs/>
        </w:rPr>
        <w:t xml:space="preserve">"datos biométricos referentes a sus huellas </w:t>
      </w:r>
      <w:r w:rsidR="00D45913" w:rsidRPr="00A555A1">
        <w:rPr>
          <w:rFonts w:ascii="Century Gothic" w:eastAsia="Century Gothic" w:hAnsi="Century Gothic" w:cs="Century Gothic"/>
          <w:i/>
          <w:iCs/>
        </w:rPr>
        <w:lastRenderedPageBreak/>
        <w:t xml:space="preserve">dactilares y características del rostro" </w:t>
      </w:r>
      <w:r w:rsidR="00D45913" w:rsidRPr="00A555A1">
        <w:rPr>
          <w:rFonts w:ascii="Century Gothic" w:eastAsia="Century Gothic" w:hAnsi="Century Gothic" w:cs="Century Gothic"/>
        </w:rPr>
        <w:t>(apartado “Datos personales sujetos a tratamiento y medios de obtención”), aunado a que las “Finalidades primari</w:t>
      </w:r>
      <w:r w:rsidR="001D73A2">
        <w:rPr>
          <w:rFonts w:ascii="Century Gothic" w:eastAsia="Century Gothic" w:hAnsi="Century Gothic" w:cs="Century Gothic"/>
        </w:rPr>
        <w:t>a</w:t>
      </w:r>
      <w:r w:rsidR="00D45913" w:rsidRPr="00A555A1">
        <w:rPr>
          <w:rFonts w:ascii="Century Gothic" w:eastAsia="Century Gothic" w:hAnsi="Century Gothic" w:cs="Century Gothic"/>
        </w:rPr>
        <w:t xml:space="preserve">s del tratamiento”, consisten en </w:t>
      </w:r>
      <w:r w:rsidR="00D45913" w:rsidRPr="00A555A1">
        <w:rPr>
          <w:rFonts w:ascii="Century Gothic" w:eastAsia="Century Gothic" w:hAnsi="Century Gothic" w:cs="Century Gothic"/>
          <w:i/>
          <w:iCs/>
        </w:rPr>
        <w:t>“verificar su identidad mediante el uso de datos biométricos, así como los datos proporcionados e identificarlo como titular y/o usuario de los Servicios ante autoridades y/o terceros con los que tengamos celebrados acuerdos de colaboración”, así como “verificar ante el Instituto Nacional Electoral (INE) la calidad de los datos contenidos en su Credencial para Votar, incluyendo sus datos biométricos”</w:t>
      </w:r>
      <w:r w:rsidR="00D45913" w:rsidRPr="00A555A1">
        <w:rPr>
          <w:rFonts w:ascii="Century Gothic" w:eastAsia="Century Gothic" w:hAnsi="Century Gothic" w:cs="Century Gothic"/>
        </w:rPr>
        <w:t>.</w:t>
      </w:r>
    </w:p>
    <w:p w14:paraId="13E3B212" w14:textId="169E7B39" w:rsidR="00D16AE1" w:rsidRPr="00A555A1" w:rsidRDefault="00D16AE1" w:rsidP="00D16AE1">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Al realizar este cruce de información entre la identificación y el rostro vivo del usuario, </w:t>
      </w:r>
      <w:r w:rsidR="00C22770" w:rsidRPr="00A555A1">
        <w:rPr>
          <w:rFonts w:ascii="Century Gothic" w:eastAsia="Century Gothic" w:hAnsi="Century Gothic" w:cs="Century Gothic"/>
        </w:rPr>
        <w:t xml:space="preserve">los tratamientos automatizados procesan la geometría facial, es decir, </w:t>
      </w:r>
      <w:r w:rsidR="00C22770" w:rsidRPr="00A555A1">
        <w:rPr>
          <w:rFonts w:ascii="Century Gothic" w:eastAsia="Century Gothic" w:hAnsi="Century Gothic" w:cs="Century Gothic"/>
          <w:b/>
          <w:bCs/>
        </w:rPr>
        <w:t>aunque la concesionaria responsable borre la fotografía inmediatamente para simular el cumplimiento del artículo 44 de los Lineamientos, los datos biométricos ya fueron tratados y utilizados para el análisis de datos y la generación de perfiles</w:t>
      </w:r>
      <w:r w:rsidR="00C22770" w:rsidRPr="00A555A1">
        <w:rPr>
          <w:rFonts w:ascii="Century Gothic" w:eastAsia="Century Gothic" w:hAnsi="Century Gothic" w:cs="Century Gothic"/>
        </w:rPr>
        <w:t>, por lo que el aprendizaje algorítmico derivado de las facciones de la persona usuaria queda retenido de facto en sus sistemas automatizado</w:t>
      </w:r>
      <w:r w:rsidR="001D73A2">
        <w:rPr>
          <w:rFonts w:ascii="Century Gothic" w:eastAsia="Century Gothic" w:hAnsi="Century Gothic" w:cs="Century Gothic"/>
        </w:rPr>
        <w:t>s</w:t>
      </w:r>
      <w:r w:rsidR="00C22770" w:rsidRPr="00A555A1">
        <w:rPr>
          <w:rFonts w:ascii="Century Gothic" w:eastAsia="Century Gothic" w:hAnsi="Century Gothic" w:cs="Century Gothic"/>
        </w:rPr>
        <w:t>, o bien una red neuronal</w:t>
      </w:r>
      <w:r w:rsidRPr="00A555A1">
        <w:rPr>
          <w:rFonts w:ascii="Century Gothic" w:eastAsia="Century Gothic" w:hAnsi="Century Gothic" w:cs="Century Gothic"/>
          <w:vertAlign w:val="superscript"/>
        </w:rPr>
        <w:footnoteReference w:id="73"/>
      </w:r>
      <w:r w:rsidRPr="00A555A1">
        <w:rPr>
          <w:rFonts w:ascii="Century Gothic" w:eastAsia="Century Gothic" w:hAnsi="Century Gothic" w:cs="Century Gothic"/>
        </w:rPr>
        <w:t>.</w:t>
      </w:r>
    </w:p>
    <w:p w14:paraId="213327D8" w14:textId="05FC5AF3" w:rsidR="00D16AE1" w:rsidRPr="00A555A1" w:rsidRDefault="00C22770" w:rsidP="00D16AE1">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Por lo tanto, cuando el Aviso de Privacidad de la concesionaria responsable coacciona a la quejosa a someter su rostro a la extracción de características faciales, está inyectando su biometría en una red neuronal, por lo que, aunque elimine el archivo de imagen (.JPG, .PNG o video) para simular el cumplimiento del artículo 44 de los Lineamientos, el tratamiento ya se materializó, esto porque las ponderaciones matemáticas y los patrones biométricos faciales de la quejosa ya generaron nuevas conexiones en el algoritmo</w:t>
      </w:r>
      <w:r w:rsidR="00D16AE1" w:rsidRPr="00A555A1">
        <w:rPr>
          <w:rFonts w:ascii="Century Gothic" w:eastAsia="Century Gothic" w:hAnsi="Century Gothic" w:cs="Century Gothic"/>
        </w:rPr>
        <w:t xml:space="preserve">. </w:t>
      </w:r>
    </w:p>
    <w:p w14:paraId="428C5200" w14:textId="6DC5BB36" w:rsidR="00D16AE1" w:rsidRPr="00A555A1" w:rsidRDefault="00D16AE1" w:rsidP="00D16AE1">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lastRenderedPageBreak/>
        <w:t>Esta invasión se agrava ante la opacidad en la cadena de suministro de la concesionaria responsable,</w:t>
      </w:r>
      <w:r w:rsidR="00C22770" w:rsidRPr="00A555A1">
        <w:rPr>
          <w:rFonts w:ascii="Century Gothic" w:eastAsia="Century Gothic" w:hAnsi="Century Gothic" w:cs="Century Gothic"/>
        </w:rPr>
        <w:t xml:space="preserve"> pues el propio aviso de Telcel reconoce la existencia y transferencia a "terceros prestadores de servicios" (apartado de “Transferencias”)</w:t>
      </w:r>
      <w:r w:rsidRPr="00A555A1">
        <w:rPr>
          <w:rFonts w:ascii="Century Gothic" w:eastAsia="Century Gothic" w:hAnsi="Century Gothic" w:cs="Century Gothic"/>
        </w:rPr>
        <w:t xml:space="preserve"> es decir, un tercero ajeno que trata los datos por cuenta de la concesionaria responsable. De esta manera, el dato personal sensible fue irreversiblemente asimilado para el entrenamiento de la herramienta tecnológica, </w:t>
      </w:r>
      <w:r w:rsidR="002A432E">
        <w:rPr>
          <w:rFonts w:ascii="Century Gothic" w:eastAsia="Century Gothic" w:hAnsi="Century Gothic" w:cs="Century Gothic"/>
        </w:rPr>
        <w:t>violando el principio de autodeterminación informativa de la usuaria sin que existiera una Ley formal que avalara dicho tratamiento</w:t>
      </w:r>
      <w:r w:rsidRPr="00A555A1">
        <w:rPr>
          <w:rFonts w:ascii="Century Gothic" w:eastAsia="Century Gothic" w:hAnsi="Century Gothic" w:cs="Century Gothic"/>
        </w:rPr>
        <w:t>, por lo que el Estado mexicano no garantiza la existencia de Acuerdos de Procesamiento de Datos</w:t>
      </w:r>
      <w:r w:rsidRPr="00A555A1">
        <w:rPr>
          <w:rFonts w:ascii="Century Gothic" w:eastAsia="Century Gothic" w:hAnsi="Century Gothic" w:cs="Century Gothic"/>
          <w:vertAlign w:val="superscript"/>
        </w:rPr>
        <w:footnoteReference w:id="74"/>
      </w:r>
      <w:r w:rsidRPr="00A555A1">
        <w:rPr>
          <w:rFonts w:ascii="Century Gothic" w:eastAsia="Century Gothic" w:hAnsi="Century Gothic" w:cs="Century Gothic"/>
        </w:rPr>
        <w:t xml:space="preserve"> (DPA, por sus siglas en inglés)</w:t>
      </w:r>
      <w:r w:rsidR="00CD67EE">
        <w:rPr>
          <w:rFonts w:ascii="Century Gothic" w:eastAsia="Century Gothic" w:hAnsi="Century Gothic" w:cs="Century Gothic"/>
        </w:rPr>
        <w:t xml:space="preserve"> </w:t>
      </w:r>
      <w:r w:rsidR="00C22770" w:rsidRPr="00A555A1">
        <w:rPr>
          <w:rFonts w:ascii="Century Gothic" w:eastAsia="Century Gothic" w:hAnsi="Century Gothic" w:cs="Century Gothic"/>
        </w:rPr>
        <w:t>que limiten el actuar de estas herramientas de terceros.</w:t>
      </w:r>
    </w:p>
    <w:p w14:paraId="1C329D3F" w14:textId="77777777" w:rsidR="00D16AE1" w:rsidRPr="00A555A1" w:rsidRDefault="00D16AE1" w:rsidP="00D16AE1">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En los estándares tecnológicos globales, los proveedores de nube —como es el caso de Google en su </w:t>
      </w:r>
      <w:r w:rsidRPr="00A555A1">
        <w:rPr>
          <w:rFonts w:ascii="Century Gothic" w:eastAsia="Century Gothic" w:hAnsi="Century Gothic" w:cs="Century Gothic"/>
          <w:i/>
          <w:iCs/>
        </w:rPr>
        <w:t>Anexo de Tratamiento de Datos de Cloud</w:t>
      </w:r>
      <w:r w:rsidRPr="00A555A1">
        <w:rPr>
          <w:rFonts w:ascii="Century Gothic" w:eastAsia="Century Gothic" w:hAnsi="Century Gothic" w:cs="Century Gothic"/>
        </w:rPr>
        <w:t xml:space="preserve"> citado como ejemplo— imponen rigurosos DPA para proteger la información. Mediante contrato escrito, estos corporativos garantizan que cualquier tercero o Subencargado acceda y utilice los datos de los clientes única y exclusivamente en la medida necesaria para cumplir con las obligaciones subcontratadas</w:t>
      </w:r>
      <w:r w:rsidRPr="00A555A1">
        <w:rPr>
          <w:rFonts w:ascii="Century Gothic" w:eastAsia="Century Gothic" w:hAnsi="Century Gothic" w:cs="Century Gothic"/>
          <w:vertAlign w:val="superscript"/>
        </w:rPr>
        <w:footnoteReference w:id="75"/>
      </w:r>
      <w:r w:rsidRPr="00A555A1">
        <w:rPr>
          <w:rFonts w:ascii="Century Gothic" w:eastAsia="Century Gothic" w:hAnsi="Century Gothic" w:cs="Century Gothic"/>
        </w:rPr>
        <w:t>. Como medida precautoria, antes de permitirles el acceso a la información, los Subencargados son sometidos a auditorías estrictas sobre sus prácticas de seguridad y privacidad</w:t>
      </w:r>
      <w:r w:rsidRPr="00A555A1">
        <w:rPr>
          <w:rFonts w:ascii="Century Gothic" w:eastAsia="Century Gothic" w:hAnsi="Century Gothic" w:cs="Century Gothic"/>
          <w:vertAlign w:val="superscript"/>
        </w:rPr>
        <w:footnoteReference w:id="76"/>
      </w:r>
      <w:r w:rsidRPr="00A555A1">
        <w:rPr>
          <w:rFonts w:ascii="Century Gothic" w:eastAsia="Century Gothic" w:hAnsi="Century Gothic" w:cs="Century Gothic"/>
        </w:rPr>
        <w:t>.</w:t>
      </w:r>
    </w:p>
    <w:p w14:paraId="5CC74C28" w14:textId="1675D910" w:rsidR="00D16AE1" w:rsidRPr="00A555A1" w:rsidRDefault="00D16AE1" w:rsidP="00D16AE1">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lastRenderedPageBreak/>
        <w:t xml:space="preserve">No obstante, bajo la laxa y deficiente regulación de la CRT, el consumidor ignora si </w:t>
      </w:r>
      <w:r w:rsidR="00C22770" w:rsidRPr="00A555A1">
        <w:rPr>
          <w:rFonts w:ascii="Century Gothic" w:eastAsia="Century Gothic" w:hAnsi="Century Gothic" w:cs="Century Gothic"/>
        </w:rPr>
        <w:t>los</w:t>
      </w:r>
      <w:r w:rsidRPr="00A555A1">
        <w:rPr>
          <w:rFonts w:ascii="Century Gothic" w:eastAsia="Century Gothic" w:hAnsi="Century Gothic" w:cs="Century Gothic"/>
        </w:rPr>
        <w:t xml:space="preserve"> "</w:t>
      </w:r>
      <w:r w:rsidR="00C22770" w:rsidRPr="00A555A1">
        <w:rPr>
          <w:rFonts w:ascii="Century Gothic" w:eastAsia="Century Gothic" w:hAnsi="Century Gothic" w:cs="Century Gothic"/>
        </w:rPr>
        <w:t>terceros prestadores de servicios”</w:t>
      </w:r>
      <w:r w:rsidRPr="00A555A1">
        <w:rPr>
          <w:rFonts w:ascii="Century Gothic" w:eastAsia="Century Gothic" w:hAnsi="Century Gothic" w:cs="Century Gothic"/>
        </w:rPr>
        <w:t xml:space="preserve"> </w:t>
      </w:r>
      <w:r w:rsidR="00C22770" w:rsidRPr="00A555A1">
        <w:rPr>
          <w:rFonts w:ascii="Century Gothic" w:eastAsia="Century Gothic" w:hAnsi="Century Gothic" w:cs="Century Gothic"/>
        </w:rPr>
        <w:t>que proveen la infraestructura tecnológica a la concesionaria responsable están sujetos a este nivel de exigencia y protección.</w:t>
      </w:r>
      <w:r w:rsidRPr="00A555A1">
        <w:rPr>
          <w:rFonts w:ascii="Century Gothic" w:eastAsia="Century Gothic" w:hAnsi="Century Gothic" w:cs="Century Gothic"/>
        </w:rPr>
        <w:t xml:space="preserve"> Al omitirse la obligación legal de transparentar y auditar estos DPA, la quejosa desconoce si el tercero tiene prohibido contractualmente apropiarse de la información o si, por el contrario, utiliza la biometría y el cruce de identificaciones de los mexicanos para entrenar sus propios modelos de Inteligencia Artificial.</w:t>
      </w:r>
    </w:p>
    <w:p w14:paraId="3EC4B6D0" w14:textId="603A781D" w:rsidR="00B7448E" w:rsidRPr="00ED45CE" w:rsidRDefault="00D16AE1" w:rsidP="00D16AE1">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Es aquí donde se actualiza una grave vulneración a la seguridad jurídica. </w:t>
      </w:r>
      <w:r w:rsidRPr="00A555A1">
        <w:rPr>
          <w:rFonts w:ascii="Century Gothic" w:eastAsia="Century Gothic" w:hAnsi="Century Gothic" w:cs="Century Gothic"/>
          <w:b/>
          <w:bCs/>
        </w:rPr>
        <w:t xml:space="preserve">Al no existir una ley formal que delimite estos procesos, el Estado no garantiza que existan DPA rigurosos, públicos y auditables entre </w:t>
      </w:r>
      <w:r w:rsidR="00B7448E" w:rsidRPr="00A555A1">
        <w:rPr>
          <w:rFonts w:ascii="Century Gothic" w:eastAsia="Century Gothic" w:hAnsi="Century Gothic" w:cs="Century Gothic"/>
          <w:b/>
          <w:bCs/>
        </w:rPr>
        <w:t>Telcel</w:t>
      </w:r>
      <w:r w:rsidRPr="00A555A1">
        <w:rPr>
          <w:rFonts w:ascii="Century Gothic" w:eastAsia="Century Gothic" w:hAnsi="Century Gothic" w:cs="Century Gothic"/>
          <w:b/>
          <w:bCs/>
        </w:rPr>
        <w:t xml:space="preserve"> y </w:t>
      </w:r>
      <w:r w:rsidR="00B7448E" w:rsidRPr="00A555A1">
        <w:rPr>
          <w:rFonts w:ascii="Century Gothic" w:eastAsia="Century Gothic" w:hAnsi="Century Gothic" w:cs="Century Gothic"/>
          <w:b/>
          <w:bCs/>
        </w:rPr>
        <w:t>los terceros prestadores de servicios.</w:t>
      </w:r>
      <w:r w:rsidR="00F03788">
        <w:rPr>
          <w:rFonts w:ascii="Century Gothic" w:eastAsia="Century Gothic" w:hAnsi="Century Gothic" w:cs="Century Gothic"/>
          <w:b/>
          <w:bCs/>
        </w:rPr>
        <w:t xml:space="preserve"> </w:t>
      </w:r>
      <w:r w:rsidR="00ED45CE" w:rsidRPr="00ED45CE">
        <w:rPr>
          <w:rFonts w:ascii="Century Gothic" w:eastAsia="Century Gothic" w:hAnsi="Century Gothic" w:cs="Century Gothic"/>
        </w:rPr>
        <w:t>{{TERMINA_TELCEL}}</w:t>
      </w:r>
    </w:p>
    <w:p w14:paraId="3AB7362D" w14:textId="4820B3FE" w:rsidR="00B7448E" w:rsidRPr="00A555A1" w:rsidRDefault="00F03788" w:rsidP="003713A4">
      <w:pPr>
        <w:spacing w:line="360" w:lineRule="auto"/>
        <w:ind w:firstLine="1418"/>
        <w:jc w:val="both"/>
        <w:rPr>
          <w:rFonts w:ascii="Century Gothic" w:eastAsia="Century Gothic" w:hAnsi="Century Gothic" w:cs="Century Gothic"/>
        </w:rPr>
      </w:pPr>
      <w:r w:rsidRPr="00F03788">
        <w:rPr>
          <w:rFonts w:ascii="Century Gothic" w:eastAsia="Century Gothic" w:hAnsi="Century Gothic" w:cs="Century Gothic"/>
        </w:rPr>
        <w:t>{{INICIA_MOVISTAR}}</w:t>
      </w:r>
      <w:r>
        <w:rPr>
          <w:rFonts w:ascii="Century Gothic" w:eastAsia="Century Gothic" w:hAnsi="Century Gothic" w:cs="Century Gothic"/>
        </w:rPr>
        <w:t xml:space="preserve"> </w:t>
      </w:r>
      <w:r w:rsidR="00B7448E" w:rsidRPr="00A555A1">
        <w:rPr>
          <w:rFonts w:ascii="Century Gothic" w:eastAsia="Century Gothic" w:hAnsi="Century Gothic" w:cs="Century Gothic"/>
        </w:rPr>
        <w:t>El agravio se materializa, al contrastar el referido artículo 44 de los Lineamientos con lo que el Aviso de Privacidad Integral para Clientes de la concesionaria responsable impone en su</w:t>
      </w:r>
      <w:r w:rsidR="003229A8" w:rsidRPr="00A555A1">
        <w:rPr>
          <w:rFonts w:ascii="Century Gothic" w:eastAsia="Century Gothic" w:hAnsi="Century Gothic" w:cs="Century Gothic"/>
        </w:rPr>
        <w:t xml:space="preserve"> apartado “6. Uso de Inteligencia Artificial”</w:t>
      </w:r>
      <w:r w:rsidR="00B7448E" w:rsidRPr="00A555A1">
        <w:rPr>
          <w:rFonts w:ascii="Century Gothic" w:eastAsia="Century Gothic" w:hAnsi="Century Gothic" w:cs="Century Gothic"/>
        </w:rPr>
        <w:t xml:space="preserve">: </w:t>
      </w:r>
      <w:r w:rsidR="003229A8" w:rsidRPr="00A555A1">
        <w:rPr>
          <w:rFonts w:ascii="Century Gothic" w:eastAsia="Century Gothic" w:hAnsi="Century Gothic" w:cs="Century Gothic"/>
          <w:i/>
          <w:iCs/>
        </w:rPr>
        <w:t xml:space="preserve">"procesos de toma de decisiones automatizadas, sin la intervención directa de una persona física, a través del uso de herramientas de Inteligencia Artificial". </w:t>
      </w:r>
      <w:r w:rsidR="003229A8" w:rsidRPr="00A555A1">
        <w:rPr>
          <w:rFonts w:ascii="Century Gothic" w:eastAsia="Century Gothic" w:hAnsi="Century Gothic" w:cs="Century Gothic"/>
        </w:rPr>
        <w:t>Asimismo, Movistar</w:t>
      </w:r>
      <w:r w:rsidR="003229A8" w:rsidRPr="00A555A1">
        <w:rPr>
          <w:rFonts w:ascii="Century Gothic" w:eastAsia="Century Gothic" w:hAnsi="Century Gothic" w:cs="Century Gothic"/>
          <w:i/>
          <w:iCs/>
        </w:rPr>
        <w:t xml:space="preserve"> "podrá utilizar los datos personales para el entrenamiento, desarrollo y mejora de las capacidades de sus sistemas, incluyendo herramientas de Inteligencia Artificial"</w:t>
      </w:r>
    </w:p>
    <w:p w14:paraId="180A23AC" w14:textId="415DF12E" w:rsidR="003229A8" w:rsidRPr="00A555A1" w:rsidRDefault="00B7448E" w:rsidP="003713A4">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En ese sentido, para llevar a el registro exigido por las normas combatidas, el sistema realiza la</w:t>
      </w:r>
      <w:r w:rsidR="003229A8" w:rsidRPr="00A555A1">
        <w:rPr>
          <w:rFonts w:ascii="Century Gothic" w:eastAsia="Century Gothic" w:hAnsi="Century Gothic" w:cs="Century Gothic"/>
        </w:rPr>
        <w:t xml:space="preserve"> recolección de </w:t>
      </w:r>
      <w:r w:rsidR="003229A8" w:rsidRPr="00A555A1">
        <w:rPr>
          <w:rFonts w:ascii="Century Gothic" w:eastAsia="Century Gothic" w:hAnsi="Century Gothic" w:cs="Century Gothic"/>
          <w:i/>
          <w:iCs/>
        </w:rPr>
        <w:t xml:space="preserve">“datos biométricos, consistentes en la imagen facial, minucias de las huellas dactilares y/o grabaciones de voz" </w:t>
      </w:r>
      <w:r w:rsidR="003229A8" w:rsidRPr="00A555A1">
        <w:rPr>
          <w:rFonts w:ascii="Century Gothic" w:eastAsia="Century Gothic" w:hAnsi="Century Gothic" w:cs="Century Gothic"/>
        </w:rPr>
        <w:t>(apartado “4. Datos personales que recabamos”)</w:t>
      </w:r>
      <w:r w:rsidR="00CD67EE">
        <w:rPr>
          <w:rFonts w:ascii="Century Gothic" w:eastAsia="Century Gothic" w:hAnsi="Century Gothic" w:cs="Century Gothic"/>
        </w:rPr>
        <w:t xml:space="preserve"> </w:t>
      </w:r>
      <w:r w:rsidR="003229A8" w:rsidRPr="00A555A1">
        <w:rPr>
          <w:rFonts w:ascii="Century Gothic" w:eastAsia="Century Gothic" w:hAnsi="Century Gothic" w:cs="Century Gothic"/>
        </w:rPr>
        <w:t xml:space="preserve">para cumplir, entre otras, las siguientes finalidades: </w:t>
      </w:r>
      <w:r w:rsidR="003229A8" w:rsidRPr="00A555A1">
        <w:rPr>
          <w:rFonts w:ascii="Century Gothic" w:eastAsia="Century Gothic" w:hAnsi="Century Gothic" w:cs="Century Gothic"/>
          <w:i/>
          <w:iCs/>
        </w:rPr>
        <w:t xml:space="preserve">“confirmar la identidad del Titular mediante la verificación de que los datos contenidos en la credencial para votar exhibida ante Movistar coincidan con aquellos que obran en los registros bajo tratamiento del INE” </w:t>
      </w:r>
      <w:r w:rsidR="003229A8" w:rsidRPr="00A555A1">
        <w:rPr>
          <w:rFonts w:ascii="Century Gothic" w:eastAsia="Century Gothic" w:hAnsi="Century Gothic" w:cs="Century Gothic"/>
        </w:rPr>
        <w:t xml:space="preserve">y </w:t>
      </w:r>
      <w:r w:rsidR="003229A8" w:rsidRPr="00A555A1">
        <w:rPr>
          <w:rFonts w:ascii="Century Gothic" w:eastAsia="Century Gothic" w:hAnsi="Century Gothic" w:cs="Century Gothic"/>
          <w:i/>
          <w:iCs/>
        </w:rPr>
        <w:t xml:space="preserve">“cumplir con las obligaciones previstas en la normatividad aplicable, incluyendo la atención de requerimientos de autoridades competentes y la implementación de registros y/o plataformas correspondientes” </w:t>
      </w:r>
      <w:r w:rsidR="003229A8" w:rsidRPr="00A555A1">
        <w:rPr>
          <w:rFonts w:ascii="Century Gothic" w:eastAsia="Century Gothic" w:hAnsi="Century Gothic" w:cs="Century Gothic"/>
        </w:rPr>
        <w:t>(apartado “5. Finalidades de los datos personales”).</w:t>
      </w:r>
    </w:p>
    <w:p w14:paraId="7F882BF8" w14:textId="77777777" w:rsidR="00B7448E" w:rsidRPr="00A555A1" w:rsidRDefault="00B7448E" w:rsidP="00B7448E">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Al realizar este cruce de información entre la identificación y el rostro vivo del usuario, la Inteligencia Artificial procesa la geometría facial, es decir, </w:t>
      </w:r>
      <w:r w:rsidRPr="00A555A1">
        <w:rPr>
          <w:rFonts w:ascii="Century Gothic" w:eastAsia="Century Gothic" w:hAnsi="Century Gothic" w:cs="Century Gothic"/>
          <w:b/>
          <w:bCs/>
        </w:rPr>
        <w:t xml:space="preserve">aunque la concesionaria responsable borre la fotografía inmediatamente para simular el cumplimiento del artículo 44 de los </w:t>
      </w:r>
      <w:r w:rsidRPr="00A555A1">
        <w:rPr>
          <w:rFonts w:ascii="Century Gothic" w:eastAsia="Century Gothic" w:hAnsi="Century Gothic" w:cs="Century Gothic"/>
          <w:b/>
          <w:bCs/>
        </w:rPr>
        <w:lastRenderedPageBreak/>
        <w:t>Lineamientos, los datos biométricos ya fueron tratados y utilizados para "el entrenamiento y mejora" de la IA</w:t>
      </w:r>
      <w:r w:rsidRPr="00A555A1">
        <w:rPr>
          <w:rFonts w:ascii="Century Gothic" w:eastAsia="Century Gothic" w:hAnsi="Century Gothic" w:cs="Century Gothic"/>
        </w:rPr>
        <w:t>, por lo que el aprendizaje algorítmico derivado de las facciones de la persona usuaria queda retenido de facto en la red neuronal</w:t>
      </w:r>
      <w:r w:rsidRPr="00A555A1">
        <w:rPr>
          <w:rFonts w:ascii="Century Gothic" w:eastAsia="Century Gothic" w:hAnsi="Century Gothic" w:cs="Century Gothic"/>
          <w:vertAlign w:val="superscript"/>
        </w:rPr>
        <w:footnoteReference w:id="77"/>
      </w:r>
      <w:r w:rsidRPr="00A555A1">
        <w:rPr>
          <w:rFonts w:ascii="Century Gothic" w:eastAsia="Century Gothic" w:hAnsi="Century Gothic" w:cs="Century Gothic"/>
        </w:rPr>
        <w:t>.</w:t>
      </w:r>
    </w:p>
    <w:p w14:paraId="260BC9BF" w14:textId="7B5388AB" w:rsidR="00B7448E" w:rsidRPr="00A555A1" w:rsidRDefault="00B7448E" w:rsidP="00B7448E">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Por lo tanto, cuando el Aviso de Privacidad de la concesionaria responsable coacciona a la quejosa a someter su rostro a una </w:t>
      </w:r>
      <w:r w:rsidR="003713A4" w:rsidRPr="00A555A1">
        <w:rPr>
          <w:rFonts w:ascii="Century Gothic" w:eastAsia="Century Gothic" w:hAnsi="Century Gothic" w:cs="Century Gothic"/>
        </w:rPr>
        <w:t>“</w:t>
      </w:r>
      <w:r w:rsidRPr="00A555A1">
        <w:rPr>
          <w:rFonts w:ascii="Century Gothic" w:eastAsia="Century Gothic" w:hAnsi="Century Gothic" w:cs="Century Gothic"/>
        </w:rPr>
        <w:t>comparación de rasgos faciales</w:t>
      </w:r>
      <w:r w:rsidR="003713A4" w:rsidRPr="00A555A1">
        <w:rPr>
          <w:rFonts w:ascii="Century Gothic" w:eastAsia="Century Gothic" w:hAnsi="Century Gothic" w:cs="Century Gothic"/>
        </w:rPr>
        <w:t>”</w:t>
      </w:r>
      <w:r w:rsidRPr="00A555A1">
        <w:rPr>
          <w:rFonts w:ascii="Century Gothic" w:eastAsia="Century Gothic" w:hAnsi="Century Gothic" w:cs="Century Gothic"/>
        </w:rPr>
        <w:t xml:space="preserve">, está inyectando su biometría en una red neuronal, por lo que, aunque elimine el archivo de imagen (.JPG, .PNG o video) para simular el cumplimiento del artículo 44 de los Lineamientos, el tratamiento ya se materializó, esto porque las ponderaciones matemáticas y los patrones biométricos faciales de la quejosa ya generaron nuevas conexiones en el algoritmo. </w:t>
      </w:r>
    </w:p>
    <w:p w14:paraId="2D477995" w14:textId="21256BD4" w:rsidR="00B7448E" w:rsidRPr="00A555A1" w:rsidRDefault="00B7448E" w:rsidP="00B7448E">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Esta invasión se agrava ante la opacidad en la cadena de suministro de la concesionaria responsable, pues el propio aviso de </w:t>
      </w:r>
      <w:r w:rsidR="00E7454D" w:rsidRPr="00A555A1">
        <w:rPr>
          <w:rFonts w:ascii="Century Gothic" w:eastAsia="Century Gothic" w:hAnsi="Century Gothic" w:cs="Century Gothic"/>
        </w:rPr>
        <w:t>Movistar</w:t>
      </w:r>
      <w:r w:rsidRPr="00A555A1">
        <w:rPr>
          <w:rFonts w:ascii="Century Gothic" w:eastAsia="Century Gothic" w:hAnsi="Century Gothic" w:cs="Century Gothic"/>
        </w:rPr>
        <w:t xml:space="preserve"> reconoce la existencia de</w:t>
      </w:r>
      <w:r w:rsidR="00E7454D" w:rsidRPr="00A555A1">
        <w:rPr>
          <w:rFonts w:ascii="Century Gothic" w:eastAsia="Century Gothic" w:hAnsi="Century Gothic" w:cs="Century Gothic"/>
        </w:rPr>
        <w:t xml:space="preserve">l </w:t>
      </w:r>
      <w:r w:rsidRPr="00A555A1">
        <w:rPr>
          <w:rFonts w:ascii="Century Gothic" w:eastAsia="Century Gothic" w:hAnsi="Century Gothic" w:cs="Century Gothic"/>
          <w:i/>
          <w:iCs/>
        </w:rPr>
        <w:t>"Encargad</w:t>
      </w:r>
      <w:r w:rsidR="00E7454D" w:rsidRPr="00A555A1">
        <w:rPr>
          <w:rFonts w:ascii="Century Gothic" w:eastAsia="Century Gothic" w:hAnsi="Century Gothic" w:cs="Century Gothic"/>
          <w:i/>
          <w:iCs/>
        </w:rPr>
        <w:t>o</w:t>
      </w:r>
      <w:r w:rsidRPr="00A555A1">
        <w:rPr>
          <w:rFonts w:ascii="Century Gothic" w:eastAsia="Century Gothic" w:hAnsi="Century Gothic" w:cs="Century Gothic"/>
          <w:i/>
          <w:iCs/>
        </w:rPr>
        <w:t>"</w:t>
      </w:r>
      <w:r w:rsidR="00E7454D" w:rsidRPr="00A555A1">
        <w:rPr>
          <w:rFonts w:ascii="Century Gothic" w:eastAsia="Century Gothic" w:hAnsi="Century Gothic" w:cs="Century Gothic"/>
          <w:i/>
          <w:iCs/>
        </w:rPr>
        <w:t xml:space="preserve"> </w:t>
      </w:r>
      <w:r w:rsidRPr="00A555A1">
        <w:rPr>
          <w:rFonts w:ascii="Century Gothic" w:eastAsia="Century Gothic" w:hAnsi="Century Gothic" w:cs="Century Gothic"/>
        </w:rPr>
        <w:t>(</w:t>
      </w:r>
      <w:r w:rsidR="00E7454D" w:rsidRPr="00A555A1">
        <w:rPr>
          <w:rFonts w:ascii="Century Gothic" w:eastAsia="Century Gothic" w:hAnsi="Century Gothic" w:cs="Century Gothic"/>
        </w:rPr>
        <w:t>apartado “2. Glosario”)</w:t>
      </w:r>
      <w:r w:rsidRPr="00A555A1">
        <w:rPr>
          <w:rFonts w:ascii="Century Gothic" w:eastAsia="Century Gothic" w:hAnsi="Century Gothic" w:cs="Century Gothic"/>
        </w:rPr>
        <w:t xml:space="preserve">, es decir, un tercero ajeno que trata los datos por cuenta de la concesionaria responsable. De esta manera, el dato personal sensible fue irreversiblemente asimilado para el entrenamiento de la herramienta tecnológica, </w:t>
      </w:r>
      <w:r w:rsidR="002A432E">
        <w:rPr>
          <w:rFonts w:ascii="Century Gothic" w:eastAsia="Century Gothic" w:hAnsi="Century Gothic" w:cs="Century Gothic"/>
        </w:rPr>
        <w:t>violando el principio de autodeterminación informativa de la usuaria sin que existiera una Ley formal que avalara dicho tratamiento</w:t>
      </w:r>
      <w:r w:rsidRPr="00A555A1">
        <w:rPr>
          <w:rFonts w:ascii="Century Gothic" w:eastAsia="Century Gothic" w:hAnsi="Century Gothic" w:cs="Century Gothic"/>
        </w:rPr>
        <w:t>, por lo que el Estado mexicano no garantiza la existencia de Acuerdos de Procesamiento de Datos</w:t>
      </w:r>
      <w:r w:rsidRPr="00A555A1">
        <w:rPr>
          <w:rFonts w:ascii="Century Gothic" w:eastAsia="Century Gothic" w:hAnsi="Century Gothic" w:cs="Century Gothic"/>
          <w:vertAlign w:val="superscript"/>
        </w:rPr>
        <w:footnoteReference w:id="78"/>
      </w:r>
      <w:r w:rsidRPr="00A555A1">
        <w:rPr>
          <w:rFonts w:ascii="Century Gothic" w:eastAsia="Century Gothic" w:hAnsi="Century Gothic" w:cs="Century Gothic"/>
        </w:rPr>
        <w:t xml:space="preserve"> (DPA, por sus siglas en inglés) que limiten el actuar de estas Inteligencias Artificiales de terceros.</w:t>
      </w:r>
    </w:p>
    <w:p w14:paraId="2A1010C3" w14:textId="77777777" w:rsidR="00B7448E" w:rsidRPr="00A555A1" w:rsidRDefault="00B7448E" w:rsidP="00B7448E">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lastRenderedPageBreak/>
        <w:t xml:space="preserve">En los estándares tecnológicos globales, los proveedores de nube —como es el caso de Google en su </w:t>
      </w:r>
      <w:r w:rsidRPr="00A555A1">
        <w:rPr>
          <w:rFonts w:ascii="Century Gothic" w:eastAsia="Century Gothic" w:hAnsi="Century Gothic" w:cs="Century Gothic"/>
          <w:i/>
          <w:iCs/>
        </w:rPr>
        <w:t>Anexo de Tratamiento de Datos de Cloud</w:t>
      </w:r>
      <w:r w:rsidRPr="00A555A1">
        <w:rPr>
          <w:rFonts w:ascii="Century Gothic" w:eastAsia="Century Gothic" w:hAnsi="Century Gothic" w:cs="Century Gothic"/>
        </w:rPr>
        <w:t xml:space="preserve"> citado como ejemplo— imponen rigurosos DPA para proteger la información. Mediante contrato escrito, estos corporativos garantizan que cualquier tercero o Subencargado acceda y utilice los datos de los clientes única y exclusivamente en la medida necesaria para cumplir con las obligaciones subcontratadas</w:t>
      </w:r>
      <w:r w:rsidRPr="00A555A1">
        <w:rPr>
          <w:rFonts w:ascii="Century Gothic" w:eastAsia="Century Gothic" w:hAnsi="Century Gothic" w:cs="Century Gothic"/>
          <w:vertAlign w:val="superscript"/>
        </w:rPr>
        <w:footnoteReference w:id="79"/>
      </w:r>
      <w:r w:rsidRPr="00A555A1">
        <w:rPr>
          <w:rFonts w:ascii="Century Gothic" w:eastAsia="Century Gothic" w:hAnsi="Century Gothic" w:cs="Century Gothic"/>
        </w:rPr>
        <w:t>. Como medida precautoria, antes de permitirles el acceso a la información, los Subencargados son sometidos a auditorías estrictas sobre sus prácticas de seguridad y privacidad</w:t>
      </w:r>
      <w:r w:rsidRPr="00A555A1">
        <w:rPr>
          <w:rFonts w:ascii="Century Gothic" w:eastAsia="Century Gothic" w:hAnsi="Century Gothic" w:cs="Century Gothic"/>
          <w:vertAlign w:val="superscript"/>
        </w:rPr>
        <w:footnoteReference w:id="80"/>
      </w:r>
      <w:r w:rsidRPr="00A555A1">
        <w:rPr>
          <w:rFonts w:ascii="Century Gothic" w:eastAsia="Century Gothic" w:hAnsi="Century Gothic" w:cs="Century Gothic"/>
        </w:rPr>
        <w:t>.</w:t>
      </w:r>
    </w:p>
    <w:p w14:paraId="455FD531" w14:textId="5349FECE" w:rsidR="00B7448E" w:rsidRPr="00A555A1" w:rsidRDefault="00B7448E" w:rsidP="00B7448E">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No obstante, bajo la laxa y deficiente regulación de la CRT, el consumidor ignora si </w:t>
      </w:r>
      <w:r w:rsidR="00E7454D" w:rsidRPr="00A555A1">
        <w:rPr>
          <w:rFonts w:ascii="Century Gothic" w:eastAsia="Century Gothic" w:hAnsi="Century Gothic" w:cs="Century Gothic"/>
        </w:rPr>
        <w:t>el</w:t>
      </w:r>
      <w:r w:rsidRPr="00A555A1">
        <w:rPr>
          <w:rFonts w:ascii="Century Gothic" w:eastAsia="Century Gothic" w:hAnsi="Century Gothic" w:cs="Century Gothic"/>
        </w:rPr>
        <w:t xml:space="preserve"> "Encargad</w:t>
      </w:r>
      <w:r w:rsidR="00E7454D" w:rsidRPr="00A555A1">
        <w:rPr>
          <w:rFonts w:ascii="Century Gothic" w:eastAsia="Century Gothic" w:hAnsi="Century Gothic" w:cs="Century Gothic"/>
        </w:rPr>
        <w:t>o</w:t>
      </w:r>
      <w:r w:rsidRPr="00A555A1">
        <w:rPr>
          <w:rFonts w:ascii="Century Gothic" w:eastAsia="Century Gothic" w:hAnsi="Century Gothic" w:cs="Century Gothic"/>
        </w:rPr>
        <w:t>" de proveer la Inteligencia Artificial a la concesionaria responsable está sujet</w:t>
      </w:r>
      <w:r w:rsidR="003830A0">
        <w:rPr>
          <w:rFonts w:ascii="Century Gothic" w:eastAsia="Century Gothic" w:hAnsi="Century Gothic" w:cs="Century Gothic"/>
        </w:rPr>
        <w:t>o</w:t>
      </w:r>
      <w:r w:rsidRPr="00A555A1">
        <w:rPr>
          <w:rFonts w:ascii="Century Gothic" w:eastAsia="Century Gothic" w:hAnsi="Century Gothic" w:cs="Century Gothic"/>
        </w:rPr>
        <w:t xml:space="preserve"> a este nivel de exigencia y protección. Al omitirse la obligación legal de transparentar y auditar estos DPA, la quejosa desconoce si el tercero tiene prohibido contractualmente apropiarse de la información o si, por el contrario, utiliza la biometría y el cruce de identificaciones de los mexicanos para entrenar sus propios modelos de Inteligencia Artificial.</w:t>
      </w:r>
    </w:p>
    <w:p w14:paraId="667527B5" w14:textId="75858139" w:rsidR="00E7454D" w:rsidRPr="00A555A1" w:rsidRDefault="00B7448E" w:rsidP="00F03788">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Es aquí donde se actualiza una grave vulneración a la seguridad jurídica. </w:t>
      </w:r>
      <w:r w:rsidRPr="00A555A1">
        <w:rPr>
          <w:rFonts w:ascii="Century Gothic" w:eastAsia="Century Gothic" w:hAnsi="Century Gothic" w:cs="Century Gothic"/>
          <w:b/>
          <w:bCs/>
        </w:rPr>
        <w:t xml:space="preserve">Al no existir una ley formal que delimite estos procesos, el Estado no garantiza que existan DPA rigurosos, públicos y auditables entre </w:t>
      </w:r>
      <w:r w:rsidR="00E7454D" w:rsidRPr="00A555A1">
        <w:rPr>
          <w:rFonts w:ascii="Century Gothic" w:eastAsia="Century Gothic" w:hAnsi="Century Gothic" w:cs="Century Gothic"/>
          <w:b/>
          <w:bCs/>
        </w:rPr>
        <w:t>Movistar</w:t>
      </w:r>
      <w:r w:rsidRPr="00A555A1">
        <w:rPr>
          <w:rFonts w:ascii="Century Gothic" w:eastAsia="Century Gothic" w:hAnsi="Century Gothic" w:cs="Century Gothic"/>
          <w:b/>
          <w:bCs/>
        </w:rPr>
        <w:t xml:space="preserve"> y l</w:t>
      </w:r>
      <w:r w:rsidR="00E7454D" w:rsidRPr="00A555A1">
        <w:rPr>
          <w:rFonts w:ascii="Century Gothic" w:eastAsia="Century Gothic" w:hAnsi="Century Gothic" w:cs="Century Gothic"/>
          <w:b/>
          <w:bCs/>
        </w:rPr>
        <w:t>os</w:t>
      </w:r>
      <w:r w:rsidRPr="00A555A1">
        <w:rPr>
          <w:rFonts w:ascii="Century Gothic" w:eastAsia="Century Gothic" w:hAnsi="Century Gothic" w:cs="Century Gothic"/>
          <w:b/>
          <w:bCs/>
          <w:i/>
          <w:iCs/>
        </w:rPr>
        <w:t xml:space="preserve"> Encargad</w:t>
      </w:r>
      <w:r w:rsidR="00E7454D" w:rsidRPr="00A555A1">
        <w:rPr>
          <w:rFonts w:ascii="Century Gothic" w:eastAsia="Century Gothic" w:hAnsi="Century Gothic" w:cs="Century Gothic"/>
          <w:b/>
          <w:bCs/>
          <w:i/>
          <w:iCs/>
        </w:rPr>
        <w:t>o</w:t>
      </w:r>
      <w:r w:rsidRPr="00A555A1">
        <w:rPr>
          <w:rFonts w:ascii="Century Gothic" w:eastAsia="Century Gothic" w:hAnsi="Century Gothic" w:cs="Century Gothic"/>
          <w:b/>
          <w:bCs/>
          <w:i/>
          <w:iCs/>
        </w:rPr>
        <w:t>s</w:t>
      </w:r>
      <w:r w:rsidRPr="00A555A1">
        <w:rPr>
          <w:rFonts w:ascii="Century Gothic" w:eastAsia="Century Gothic" w:hAnsi="Century Gothic" w:cs="Century Gothic"/>
        </w:rPr>
        <w:t>.</w:t>
      </w:r>
      <w:r w:rsidR="00F03788">
        <w:rPr>
          <w:rFonts w:ascii="Century Gothic" w:eastAsia="Century Gothic" w:hAnsi="Century Gothic" w:cs="Century Gothic"/>
        </w:rPr>
        <w:t xml:space="preserve"> </w:t>
      </w:r>
      <w:r w:rsidR="00F03788" w:rsidRPr="00F03788">
        <w:rPr>
          <w:rFonts w:ascii="Century Gothic" w:eastAsia="Century Gothic" w:hAnsi="Century Gothic" w:cs="Century Gothic"/>
        </w:rPr>
        <w:t>{{TERMINA_MOVISTAR}}</w:t>
      </w:r>
    </w:p>
    <w:p w14:paraId="3D7BAD31" w14:textId="7BC80829" w:rsidR="00107AE1" w:rsidRPr="00A555A1" w:rsidRDefault="002E7856" w:rsidP="00E7454D">
      <w:pPr>
        <w:spacing w:line="360" w:lineRule="auto"/>
        <w:ind w:firstLine="1418"/>
        <w:jc w:val="both"/>
        <w:rPr>
          <w:rFonts w:ascii="Century Gothic" w:eastAsia="Century Gothic" w:hAnsi="Century Gothic" w:cs="Century Gothic"/>
        </w:rPr>
      </w:pPr>
      <w:r w:rsidRPr="002E7856">
        <w:rPr>
          <w:rFonts w:ascii="Century Gothic" w:eastAsia="Century Gothic" w:hAnsi="Century Gothic" w:cs="Century Gothic"/>
        </w:rPr>
        <w:lastRenderedPageBreak/>
        <w:t>{{INICIA_BAIT}}</w:t>
      </w:r>
      <w:r>
        <w:rPr>
          <w:rFonts w:ascii="Century Gothic" w:eastAsia="Century Gothic" w:hAnsi="Century Gothic" w:cs="Century Gothic"/>
        </w:rPr>
        <w:t xml:space="preserve"> </w:t>
      </w:r>
      <w:r w:rsidR="00E7454D" w:rsidRPr="00A555A1">
        <w:rPr>
          <w:rFonts w:ascii="Century Gothic" w:eastAsia="Century Gothic" w:hAnsi="Century Gothic" w:cs="Century Gothic"/>
        </w:rPr>
        <w:t>El agravio se materializa, al contrastar el referido artículo 44 de los Lineamientos con lo que el Aviso de Privacidad Integral de la concesionaria responsable impone en su</w:t>
      </w:r>
      <w:r w:rsidR="00107AE1" w:rsidRPr="00A555A1">
        <w:rPr>
          <w:rFonts w:ascii="Century Gothic" w:eastAsia="Century Gothic" w:hAnsi="Century Gothic" w:cs="Century Gothic"/>
        </w:rPr>
        <w:t xml:space="preserve"> apartado “3. ¿Con qué fin recolectamos datos? – Finalidades secundarias”</w:t>
      </w:r>
      <w:r w:rsidR="00E7454D" w:rsidRPr="00A555A1">
        <w:rPr>
          <w:rFonts w:ascii="Century Gothic" w:eastAsia="Century Gothic" w:hAnsi="Century Gothic" w:cs="Century Gothic"/>
        </w:rPr>
        <w:t xml:space="preserve">: </w:t>
      </w:r>
      <w:r w:rsidR="00107AE1" w:rsidRPr="00A555A1">
        <w:rPr>
          <w:rFonts w:ascii="Century Gothic" w:eastAsia="Century Gothic" w:hAnsi="Century Gothic" w:cs="Century Gothic"/>
          <w:i/>
          <w:iCs/>
        </w:rPr>
        <w:t>“Walmart para la finalidad relativa a servicio Pospago Bait, utilizará tratamientos automatizados sin intervención humana.”</w:t>
      </w:r>
      <w:r w:rsidR="00107AE1" w:rsidRPr="00A555A1">
        <w:rPr>
          <w:rFonts w:ascii="Century Gothic" w:eastAsia="Century Gothic" w:hAnsi="Century Gothic" w:cs="Century Gothic"/>
        </w:rPr>
        <w:t>, asimismo, Grupo Walmart utilizará sus datos personales para el “</w:t>
      </w:r>
      <w:r w:rsidR="00107AE1" w:rsidRPr="00A555A1">
        <w:rPr>
          <w:rFonts w:ascii="Century Gothic" w:eastAsia="Century Gothic" w:hAnsi="Century Gothic" w:cs="Century Gothic"/>
          <w:i/>
          <w:iCs/>
        </w:rPr>
        <w:t>procesamiento de imágenes y/o voz”</w:t>
      </w:r>
      <w:r w:rsidR="00107AE1" w:rsidRPr="00A555A1">
        <w:rPr>
          <w:rFonts w:ascii="Century Gothic" w:eastAsia="Century Gothic" w:hAnsi="Century Gothic" w:cs="Century Gothic"/>
        </w:rPr>
        <w:t xml:space="preserve"> y el </w:t>
      </w:r>
      <w:r w:rsidR="00107AE1" w:rsidRPr="00A555A1">
        <w:rPr>
          <w:rFonts w:ascii="Century Gothic" w:eastAsia="Century Gothic" w:hAnsi="Century Gothic" w:cs="Century Gothic"/>
          <w:i/>
          <w:iCs/>
        </w:rPr>
        <w:t>“perfilamiento mediante el uso de Inteligencia Artificial”</w:t>
      </w:r>
    </w:p>
    <w:p w14:paraId="248988C1" w14:textId="6C2DD8A8" w:rsidR="00E7454D" w:rsidRPr="00A555A1" w:rsidRDefault="00E7454D" w:rsidP="00E7454D">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En ese sentido, para llevar a el registro exigido por las normas combatidas, el sistema </w:t>
      </w:r>
      <w:r w:rsidR="007250F0" w:rsidRPr="00A555A1">
        <w:rPr>
          <w:rFonts w:ascii="Century Gothic" w:eastAsia="Century Gothic" w:hAnsi="Century Gothic" w:cs="Century Gothic"/>
        </w:rPr>
        <w:t xml:space="preserve">recolecta datos </w:t>
      </w:r>
      <w:r w:rsidR="007250F0" w:rsidRPr="00A555A1">
        <w:rPr>
          <w:rFonts w:ascii="Century Gothic" w:eastAsia="Century Gothic" w:hAnsi="Century Gothic" w:cs="Century Gothic"/>
          <w:i/>
          <w:iCs/>
        </w:rPr>
        <w:t>“de identificación”</w:t>
      </w:r>
      <w:r w:rsidR="007250F0" w:rsidRPr="00A555A1">
        <w:rPr>
          <w:rFonts w:ascii="Century Gothic" w:eastAsia="Century Gothic" w:hAnsi="Century Gothic" w:cs="Century Gothic"/>
        </w:rPr>
        <w:t xml:space="preserve">, </w:t>
      </w:r>
      <w:r w:rsidR="007250F0" w:rsidRPr="00A555A1">
        <w:rPr>
          <w:rFonts w:ascii="Century Gothic" w:eastAsia="Century Gothic" w:hAnsi="Century Gothic" w:cs="Century Gothic"/>
          <w:i/>
          <w:iCs/>
        </w:rPr>
        <w:t>“biométricos de identificación”</w:t>
      </w:r>
      <w:r w:rsidRPr="00A555A1">
        <w:rPr>
          <w:rFonts w:ascii="Century Gothic" w:eastAsia="Century Gothic" w:hAnsi="Century Gothic" w:cs="Century Gothic"/>
        </w:rPr>
        <w:t xml:space="preserve"> </w:t>
      </w:r>
      <w:r w:rsidR="007250F0" w:rsidRPr="00A555A1">
        <w:rPr>
          <w:rFonts w:ascii="Century Gothic" w:eastAsia="Century Gothic" w:hAnsi="Century Gothic" w:cs="Century Gothic"/>
        </w:rPr>
        <w:t xml:space="preserve">(apartado “2. Qué datos recolectamos”) con la siguiente finalidad </w:t>
      </w:r>
      <w:r w:rsidR="007250F0" w:rsidRPr="00A555A1">
        <w:rPr>
          <w:rFonts w:ascii="Century Gothic" w:eastAsia="Century Gothic" w:hAnsi="Century Gothic" w:cs="Century Gothic"/>
          <w:i/>
          <w:iCs/>
        </w:rPr>
        <w:t>“verificar que los datos personales contenidos en la credencial para votar, pasaporte </w:t>
      </w:r>
      <w:r w:rsidR="007250F0" w:rsidRPr="00A555A1">
        <w:rPr>
          <w:rFonts w:ascii="Arial" w:eastAsia="Century Gothic" w:hAnsi="Arial" w:cs="Arial"/>
          <w:i/>
          <w:iCs/>
        </w:rPr>
        <w:t> </w:t>
      </w:r>
      <w:r w:rsidR="007250F0" w:rsidRPr="00A555A1">
        <w:rPr>
          <w:rFonts w:ascii="Century Gothic" w:eastAsia="Century Gothic" w:hAnsi="Century Gothic" w:cs="Century Gothic"/>
          <w:i/>
          <w:iCs/>
        </w:rPr>
        <w:t>y/o en el documento nacional de identidad, así como los biométricos, tales como huellas dactilares y biometría facial del titular, insertos en estas identificaciones oficiales, coincidan con los que obran en poder del INE, SR</w:t>
      </w:r>
      <w:r w:rsidR="00492947">
        <w:rPr>
          <w:rFonts w:ascii="Century Gothic" w:eastAsia="Century Gothic" w:hAnsi="Century Gothic" w:cs="Century Gothic"/>
          <w:i/>
          <w:iCs/>
        </w:rPr>
        <w:t>E</w:t>
      </w:r>
      <w:r w:rsidR="007250F0" w:rsidRPr="00A555A1">
        <w:rPr>
          <w:rFonts w:ascii="Century Gothic" w:eastAsia="Century Gothic" w:hAnsi="Century Gothic" w:cs="Century Gothic"/>
          <w:i/>
          <w:iCs/>
        </w:rPr>
        <w:t xml:space="preserve"> y SEGOB, respectivamente.” </w:t>
      </w:r>
      <w:r w:rsidR="007250F0" w:rsidRPr="00A555A1">
        <w:rPr>
          <w:rFonts w:ascii="Century Gothic" w:eastAsia="Century Gothic" w:hAnsi="Century Gothic" w:cs="Century Gothic"/>
        </w:rPr>
        <w:t>(apartado “3. ¿Con qué fin recolectamos datos? – Finalidades primaria”)</w:t>
      </w:r>
      <w:r w:rsidRPr="00A555A1">
        <w:rPr>
          <w:rFonts w:ascii="Century Gothic" w:eastAsia="Century Gothic" w:hAnsi="Century Gothic" w:cs="Century Gothic"/>
        </w:rPr>
        <w:t xml:space="preserve"> </w:t>
      </w:r>
    </w:p>
    <w:p w14:paraId="4B5028A2" w14:textId="1944F196" w:rsidR="00E7454D" w:rsidRPr="00A555A1" w:rsidRDefault="003713A4" w:rsidP="00E7454D">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Al realizar este cruce de información entre la identificación y el rostro vivo del usuario, la Inteligencia Artificial procesa la geometría facial, es decir</w:t>
      </w:r>
      <w:r w:rsidR="00E7454D" w:rsidRPr="00A555A1">
        <w:rPr>
          <w:rFonts w:ascii="Century Gothic" w:eastAsia="Century Gothic" w:hAnsi="Century Gothic" w:cs="Century Gothic"/>
        </w:rPr>
        <w:t xml:space="preserve">, </w:t>
      </w:r>
      <w:r w:rsidR="00E7454D" w:rsidRPr="00A555A1">
        <w:rPr>
          <w:rFonts w:ascii="Century Gothic" w:eastAsia="Century Gothic" w:hAnsi="Century Gothic" w:cs="Century Gothic"/>
          <w:b/>
          <w:bCs/>
        </w:rPr>
        <w:t xml:space="preserve">aunque la concesionaria responsable borre la fotografía inmediatamente para simular el cumplimiento del artículo 44 de los Lineamientos, los datos biométricos ya fueron tratados y utilizados para </w:t>
      </w:r>
      <w:r w:rsidRPr="00A555A1">
        <w:rPr>
          <w:rFonts w:ascii="Century Gothic" w:eastAsia="Century Gothic" w:hAnsi="Century Gothic" w:cs="Century Gothic"/>
          <w:b/>
          <w:bCs/>
        </w:rPr>
        <w:t>el "perfilamiento mediante el uso de Inteligencia Artificial"</w:t>
      </w:r>
      <w:r w:rsidR="00E7454D" w:rsidRPr="00A555A1">
        <w:rPr>
          <w:rFonts w:ascii="Century Gothic" w:eastAsia="Century Gothic" w:hAnsi="Century Gothic" w:cs="Century Gothic"/>
        </w:rPr>
        <w:t>, por lo que el aprendizaje algorítmico derivado de las facciones de la persona usuaria queda retenido de facto en la red neuronal</w:t>
      </w:r>
      <w:r w:rsidR="00E7454D" w:rsidRPr="00A555A1">
        <w:rPr>
          <w:rFonts w:ascii="Century Gothic" w:eastAsia="Century Gothic" w:hAnsi="Century Gothic" w:cs="Century Gothic"/>
          <w:vertAlign w:val="superscript"/>
        </w:rPr>
        <w:footnoteReference w:id="81"/>
      </w:r>
      <w:r w:rsidR="00E7454D" w:rsidRPr="00A555A1">
        <w:rPr>
          <w:rFonts w:ascii="Century Gothic" w:eastAsia="Century Gothic" w:hAnsi="Century Gothic" w:cs="Century Gothic"/>
        </w:rPr>
        <w:t>.</w:t>
      </w:r>
    </w:p>
    <w:p w14:paraId="5D33A47E" w14:textId="132D43ED" w:rsidR="00E7454D" w:rsidRPr="00A555A1" w:rsidRDefault="00D57C8E" w:rsidP="00E7454D">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lastRenderedPageBreak/>
        <w:t>Por lo tanto, cuando el Aviso de Privacidad de la concesionaria responsable coacciona a la quejosa a someter su rostro a un procesamiento de imágenes, está inyectando su biometría en una red neuronal, por lo que, aunque elimine el archivo de imagen (.JPG, .PNG o video) para simular el cumplimiento del artículo 44 de los Lineamientos, el tratamiento ya se materializó, esto porque las ponderaciones matemáticas y los patrones biométricos faciales de la quejosa ya generaron nuevas conexiones en el algoritmo.</w:t>
      </w:r>
      <w:r w:rsidR="00E7454D" w:rsidRPr="00A555A1">
        <w:rPr>
          <w:rFonts w:ascii="Century Gothic" w:eastAsia="Century Gothic" w:hAnsi="Century Gothic" w:cs="Century Gothic"/>
        </w:rPr>
        <w:t xml:space="preserve"> </w:t>
      </w:r>
    </w:p>
    <w:p w14:paraId="213A6738" w14:textId="5BD25629" w:rsidR="00E7454D" w:rsidRPr="00A555A1" w:rsidRDefault="00E7454D" w:rsidP="00E7454D">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Esta invasión se agrava ante la opacidad en la cadena de suministro de la concesionaria responsable, pues el propio aviso de </w:t>
      </w:r>
      <w:r w:rsidR="00D57C8E" w:rsidRPr="00A555A1">
        <w:rPr>
          <w:rFonts w:ascii="Century Gothic" w:eastAsia="Century Gothic" w:hAnsi="Century Gothic" w:cs="Century Gothic"/>
        </w:rPr>
        <w:t>Bait</w:t>
      </w:r>
      <w:r w:rsidRPr="00A555A1">
        <w:rPr>
          <w:rFonts w:ascii="Century Gothic" w:eastAsia="Century Gothic" w:hAnsi="Century Gothic" w:cs="Century Gothic"/>
        </w:rPr>
        <w:t xml:space="preserve"> </w:t>
      </w:r>
      <w:r w:rsidR="00D57C8E" w:rsidRPr="00A555A1">
        <w:rPr>
          <w:rFonts w:ascii="Century Gothic" w:eastAsia="Century Gothic" w:hAnsi="Century Gothic" w:cs="Century Gothic"/>
        </w:rPr>
        <w:t>reconoce la transferencia a "</w:t>
      </w:r>
      <w:r w:rsidR="00BD42FA" w:rsidRPr="00A555A1">
        <w:rPr>
          <w:rFonts w:ascii="Century Gothic" w:eastAsia="Century Gothic" w:hAnsi="Century Gothic" w:cs="Century Gothic"/>
        </w:rPr>
        <w:t>S</w:t>
      </w:r>
      <w:r w:rsidR="00D57C8E" w:rsidRPr="00A555A1">
        <w:rPr>
          <w:rFonts w:ascii="Century Gothic" w:eastAsia="Century Gothic" w:hAnsi="Century Gothic" w:cs="Century Gothic"/>
        </w:rPr>
        <w:t>ocios comerciales"</w:t>
      </w:r>
      <w:r w:rsidR="00CD67EE">
        <w:rPr>
          <w:rFonts w:ascii="Century Gothic" w:eastAsia="Century Gothic" w:hAnsi="Century Gothic" w:cs="Century Gothic"/>
        </w:rPr>
        <w:t xml:space="preserve"> </w:t>
      </w:r>
      <w:r w:rsidR="003713A4" w:rsidRPr="00A555A1">
        <w:rPr>
          <w:rFonts w:ascii="Century Gothic" w:eastAsia="Century Gothic" w:hAnsi="Century Gothic" w:cs="Century Gothic"/>
        </w:rPr>
        <w:t>(apartado “3. ¿Con qué fin recolectamos datos? – Transferencias de Datos Personales”)</w:t>
      </w:r>
      <w:r w:rsidRPr="00A555A1">
        <w:rPr>
          <w:rFonts w:ascii="Century Gothic" w:eastAsia="Century Gothic" w:hAnsi="Century Gothic" w:cs="Century Gothic"/>
        </w:rPr>
        <w:t xml:space="preserve">, </w:t>
      </w:r>
      <w:r w:rsidR="00D57C8E" w:rsidRPr="00A555A1">
        <w:rPr>
          <w:rFonts w:ascii="Century Gothic" w:eastAsia="Century Gothic" w:hAnsi="Century Gothic" w:cs="Century Gothic"/>
        </w:rPr>
        <w:t xml:space="preserve">es decir, un tercero ajeno que trata los datos por cuenta de la concesionaria responsable. De esta manera, el dato personal sensible fue irreversiblemente asimilado para el entrenamiento de la herramienta tecnológica, </w:t>
      </w:r>
      <w:r w:rsidR="002A432E">
        <w:rPr>
          <w:rFonts w:ascii="Century Gothic" w:eastAsia="Century Gothic" w:hAnsi="Century Gothic" w:cs="Century Gothic"/>
        </w:rPr>
        <w:t>violando el principio de autodeterminación informativa de la usuaria sin que existiera una Ley formal que avalara dicho tratamiento</w:t>
      </w:r>
      <w:r w:rsidR="00D57C8E" w:rsidRPr="00A555A1">
        <w:rPr>
          <w:rFonts w:ascii="Century Gothic" w:eastAsia="Century Gothic" w:hAnsi="Century Gothic" w:cs="Century Gothic"/>
        </w:rPr>
        <w:t>, por lo que el Estado mexicano no garantiza la existencia de Acuerdos de Procesamiento de Datos</w:t>
      </w:r>
      <w:r w:rsidRPr="00A555A1">
        <w:rPr>
          <w:rFonts w:ascii="Century Gothic" w:eastAsia="Century Gothic" w:hAnsi="Century Gothic" w:cs="Century Gothic"/>
          <w:vertAlign w:val="superscript"/>
        </w:rPr>
        <w:footnoteReference w:id="82"/>
      </w:r>
      <w:r w:rsidRPr="00A555A1">
        <w:rPr>
          <w:rFonts w:ascii="Century Gothic" w:eastAsia="Century Gothic" w:hAnsi="Century Gothic" w:cs="Century Gothic"/>
        </w:rPr>
        <w:t xml:space="preserve"> (DPA, por sus siglas en inglés) que limiten el actuar de estas Inteligencias Artificiales de terceros.</w:t>
      </w:r>
    </w:p>
    <w:p w14:paraId="589682F8" w14:textId="77777777" w:rsidR="00E7454D" w:rsidRPr="00A555A1" w:rsidRDefault="00E7454D" w:rsidP="00E7454D">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En los estándares tecnológicos globales, los proveedores de nube —como es el caso de Google en su </w:t>
      </w:r>
      <w:r w:rsidRPr="00A555A1">
        <w:rPr>
          <w:rFonts w:ascii="Century Gothic" w:eastAsia="Century Gothic" w:hAnsi="Century Gothic" w:cs="Century Gothic"/>
          <w:i/>
          <w:iCs/>
        </w:rPr>
        <w:t>Anexo de Tratamiento de Datos de Cloud</w:t>
      </w:r>
      <w:r w:rsidRPr="00A555A1">
        <w:rPr>
          <w:rFonts w:ascii="Century Gothic" w:eastAsia="Century Gothic" w:hAnsi="Century Gothic" w:cs="Century Gothic"/>
        </w:rPr>
        <w:t xml:space="preserve"> citado como ejemplo— imponen rigurosos DPA para proteger la información. Mediante contrato escrito, estos corporativos garantizan que cualquier tercero o Subencargado acceda y utilice los datos de los clientes única y exclusivamente en la medida necesaria para cumplir con las obligaciones subcontratadas</w:t>
      </w:r>
      <w:r w:rsidRPr="00A555A1">
        <w:rPr>
          <w:rFonts w:ascii="Century Gothic" w:eastAsia="Century Gothic" w:hAnsi="Century Gothic" w:cs="Century Gothic"/>
          <w:vertAlign w:val="superscript"/>
        </w:rPr>
        <w:footnoteReference w:id="83"/>
      </w:r>
      <w:r w:rsidRPr="00A555A1">
        <w:rPr>
          <w:rFonts w:ascii="Century Gothic" w:eastAsia="Century Gothic" w:hAnsi="Century Gothic" w:cs="Century Gothic"/>
        </w:rPr>
        <w:t xml:space="preserve">. Como medida precautoria, antes de permitirles el acceso </w:t>
      </w:r>
      <w:r w:rsidRPr="00A555A1">
        <w:rPr>
          <w:rFonts w:ascii="Century Gothic" w:eastAsia="Century Gothic" w:hAnsi="Century Gothic" w:cs="Century Gothic"/>
        </w:rPr>
        <w:lastRenderedPageBreak/>
        <w:t>a la información, los Subencargados son sometidos a auditorías estrictas sobre sus prácticas de seguridad y privacidad</w:t>
      </w:r>
      <w:r w:rsidRPr="00A555A1">
        <w:rPr>
          <w:rFonts w:ascii="Century Gothic" w:eastAsia="Century Gothic" w:hAnsi="Century Gothic" w:cs="Century Gothic"/>
          <w:vertAlign w:val="superscript"/>
        </w:rPr>
        <w:footnoteReference w:id="84"/>
      </w:r>
      <w:r w:rsidRPr="00A555A1">
        <w:rPr>
          <w:rFonts w:ascii="Century Gothic" w:eastAsia="Century Gothic" w:hAnsi="Century Gothic" w:cs="Century Gothic"/>
        </w:rPr>
        <w:t>.</w:t>
      </w:r>
    </w:p>
    <w:p w14:paraId="212B43B4" w14:textId="42490DF0" w:rsidR="00E7454D" w:rsidRPr="00A555A1" w:rsidRDefault="00E7454D" w:rsidP="00E7454D">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No obstante, bajo la laxa y deficiente regulación de la CRT, el consumidor ignora si l</w:t>
      </w:r>
      <w:r w:rsidR="00BD42FA" w:rsidRPr="00A555A1">
        <w:rPr>
          <w:rFonts w:ascii="Century Gothic" w:eastAsia="Century Gothic" w:hAnsi="Century Gothic" w:cs="Century Gothic"/>
        </w:rPr>
        <w:t>os</w:t>
      </w:r>
      <w:r w:rsidRPr="00A555A1">
        <w:rPr>
          <w:rFonts w:ascii="Century Gothic" w:eastAsia="Century Gothic" w:hAnsi="Century Gothic" w:cs="Century Gothic"/>
        </w:rPr>
        <w:t xml:space="preserve"> "</w:t>
      </w:r>
      <w:r w:rsidR="00BD42FA" w:rsidRPr="00A555A1">
        <w:rPr>
          <w:rFonts w:ascii="Century Gothic" w:eastAsia="Century Gothic" w:hAnsi="Century Gothic" w:cs="Century Gothic"/>
        </w:rPr>
        <w:t>Socios comerciales</w:t>
      </w:r>
      <w:r w:rsidRPr="00A555A1">
        <w:rPr>
          <w:rFonts w:ascii="Century Gothic" w:eastAsia="Century Gothic" w:hAnsi="Century Gothic" w:cs="Century Gothic"/>
        </w:rPr>
        <w:t xml:space="preserve">" </w:t>
      </w:r>
      <w:r w:rsidR="003830A0">
        <w:rPr>
          <w:rFonts w:ascii="Century Gothic" w:eastAsia="Century Gothic" w:hAnsi="Century Gothic" w:cs="Century Gothic"/>
        </w:rPr>
        <w:t xml:space="preserve">encargados </w:t>
      </w:r>
      <w:r w:rsidRPr="00A555A1">
        <w:rPr>
          <w:rFonts w:ascii="Century Gothic" w:eastAsia="Century Gothic" w:hAnsi="Century Gothic" w:cs="Century Gothic"/>
        </w:rPr>
        <w:t>de proveer la Inteligencia Artificial a la concesionaria responsable está</w:t>
      </w:r>
      <w:r w:rsidR="000F1054">
        <w:rPr>
          <w:rFonts w:ascii="Century Gothic" w:eastAsia="Century Gothic" w:hAnsi="Century Gothic" w:cs="Century Gothic"/>
        </w:rPr>
        <w:t>n</w:t>
      </w:r>
      <w:r w:rsidRPr="00A555A1">
        <w:rPr>
          <w:rFonts w:ascii="Century Gothic" w:eastAsia="Century Gothic" w:hAnsi="Century Gothic" w:cs="Century Gothic"/>
        </w:rPr>
        <w:t xml:space="preserve"> sujet</w:t>
      </w:r>
      <w:r w:rsidR="000F1054">
        <w:rPr>
          <w:rFonts w:ascii="Century Gothic" w:eastAsia="Century Gothic" w:hAnsi="Century Gothic" w:cs="Century Gothic"/>
        </w:rPr>
        <w:t>os</w:t>
      </w:r>
      <w:r w:rsidRPr="00A555A1">
        <w:rPr>
          <w:rFonts w:ascii="Century Gothic" w:eastAsia="Century Gothic" w:hAnsi="Century Gothic" w:cs="Century Gothic"/>
        </w:rPr>
        <w:t xml:space="preserve"> a este nivel de exigencia y protección. Al omitirse la obligación legal de transparentar y auditar estos DPA, la quejosa desconoce si el tercero tiene prohibido contractualmente apropiarse de la información o si, por el contrario, utiliza la biometría y el cruce de identificaciones de los mexicanos para entrenar sus propios modelos de Inteligencia Artificial.</w:t>
      </w:r>
    </w:p>
    <w:p w14:paraId="13D1218A" w14:textId="47A4F444" w:rsidR="00E7454D" w:rsidRPr="00A555A1" w:rsidRDefault="00E7454D" w:rsidP="00E7454D">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Es aquí donde se actualiza una grave vulneración a la seguridad jurídica. </w:t>
      </w:r>
      <w:r w:rsidRPr="00A555A1">
        <w:rPr>
          <w:rFonts w:ascii="Century Gothic" w:eastAsia="Century Gothic" w:hAnsi="Century Gothic" w:cs="Century Gothic"/>
          <w:b/>
          <w:bCs/>
        </w:rPr>
        <w:t xml:space="preserve">Al no existir una ley formal que delimite estos procesos, el Estado no garantiza que existan DPA rigurosos, públicos y auditables entre </w:t>
      </w:r>
      <w:r w:rsidR="00BD42FA" w:rsidRPr="00A555A1">
        <w:rPr>
          <w:rFonts w:ascii="Century Gothic" w:eastAsia="Century Gothic" w:hAnsi="Century Gothic" w:cs="Century Gothic"/>
          <w:b/>
          <w:bCs/>
        </w:rPr>
        <w:t>Bait</w:t>
      </w:r>
      <w:r w:rsidRPr="00A555A1">
        <w:rPr>
          <w:rFonts w:ascii="Century Gothic" w:eastAsia="Century Gothic" w:hAnsi="Century Gothic" w:cs="Century Gothic"/>
          <w:b/>
          <w:bCs/>
        </w:rPr>
        <w:t xml:space="preserve"> y </w:t>
      </w:r>
      <w:r w:rsidR="00BD42FA" w:rsidRPr="00A555A1">
        <w:rPr>
          <w:rFonts w:ascii="Century Gothic" w:eastAsia="Century Gothic" w:hAnsi="Century Gothic" w:cs="Century Gothic"/>
          <w:b/>
          <w:bCs/>
        </w:rPr>
        <w:t>sus Socios comerciales</w:t>
      </w:r>
      <w:r w:rsidRPr="00A555A1">
        <w:rPr>
          <w:rFonts w:ascii="Century Gothic" w:eastAsia="Century Gothic" w:hAnsi="Century Gothic" w:cs="Century Gothic"/>
        </w:rPr>
        <w:t>.</w:t>
      </w:r>
      <w:r w:rsidR="002E7856">
        <w:rPr>
          <w:rFonts w:ascii="Century Gothic" w:eastAsia="Century Gothic" w:hAnsi="Century Gothic" w:cs="Century Gothic"/>
        </w:rPr>
        <w:t xml:space="preserve"> </w:t>
      </w:r>
      <w:r w:rsidR="00ED45CE" w:rsidRPr="00ED45CE">
        <w:rPr>
          <w:rFonts w:ascii="Century Gothic" w:eastAsia="Century Gothic" w:hAnsi="Century Gothic" w:cs="Century Gothic"/>
        </w:rPr>
        <w:t>{{TERMINA_BAIT}}</w:t>
      </w:r>
    </w:p>
    <w:p w14:paraId="3AB71039" w14:textId="429CA5B6"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De esta manera, queda demostrado que el Artículo 103 de la LMTR y los Lineamientos emitidos por la CRT son inconstitucionales. Violan el principio de reserva de ley y subordinación jerárquica al permitir que una autoridad administrativa defina aspectos sustantivos de los derechos humanos. Limitar a un ciudadano a poseer un máximo de 10 líneas telefónicas, darle un tratamiento normativo diferenciado y someterlo a extracciones biométricas que entrenan modelos de Inteligencia Artificial </w:t>
      </w:r>
      <w:r w:rsidR="002E7856">
        <w:rPr>
          <w:rFonts w:ascii="Century Gothic" w:eastAsia="Century Gothic" w:hAnsi="Century Gothic" w:cs="Century Gothic"/>
        </w:rPr>
        <w:t xml:space="preserve">y/o se someten a proceso automatizados </w:t>
      </w:r>
      <w:r w:rsidRPr="00A555A1">
        <w:rPr>
          <w:rFonts w:ascii="Century Gothic" w:eastAsia="Century Gothic" w:hAnsi="Century Gothic" w:cs="Century Gothic"/>
        </w:rPr>
        <w:t xml:space="preserve">son actos privativos de derechos que requieren forzosamente una ley formal emitida por el Poder Legislativo. </w:t>
      </w:r>
    </w:p>
    <w:p w14:paraId="1BF640FD"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En ese sentido, al haber tolerado que la CRT y la concesionaria responsable impongan estas limitantes por demás arbitrarias y coaccionen el registro de una línea telefónica móvil, el Estado Mexicano despoja a la </w:t>
      </w:r>
      <w:r w:rsidRPr="00A555A1">
        <w:rPr>
          <w:rFonts w:ascii="Century Gothic" w:eastAsia="Century Gothic" w:hAnsi="Century Gothic" w:cs="Century Gothic"/>
        </w:rPr>
        <w:lastRenderedPageBreak/>
        <w:t>quejosa de su seguridad jurídica, violando el artículo 16 constitucional y el artículo 30 de la Convención Americana sobre Derechos Humanos.</w:t>
      </w:r>
    </w:p>
    <w:p w14:paraId="5127DB10" w14:textId="77777777" w:rsidR="00001DF2" w:rsidRPr="00A555A1" w:rsidRDefault="00000000">
      <w:pPr>
        <w:spacing w:line="360" w:lineRule="auto"/>
        <w:jc w:val="both"/>
        <w:rPr>
          <w:rFonts w:ascii="Century Gothic" w:eastAsia="Century Gothic" w:hAnsi="Century Gothic" w:cs="Century Gothic"/>
          <w:b/>
          <w:bCs/>
        </w:rPr>
      </w:pPr>
      <w:r w:rsidRPr="00A555A1">
        <w:rPr>
          <w:rFonts w:ascii="Century Gothic" w:eastAsia="Century Gothic" w:hAnsi="Century Gothic" w:cs="Century Gothic"/>
          <w:b/>
          <w:bCs/>
        </w:rPr>
        <w:t>2. Finalidad constitucionalmente válida</w:t>
      </w:r>
    </w:p>
    <w:p w14:paraId="010BD4A6"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Ahora bien, con independencia de las violaciones constitucionales demostradas derivadas del incumplimiento del requisito de legalidad, a continuación se procede a la aplicación del test de proporcionalidad que, como ha sido mencionado anteriormente, es requerido por la Constitución y las normas de derechos humanos de fuente internacional para evaluar la compatibilidad de interferencias en el derecho a la privacidad y protección de datos personales con el parámetro de regularidad constitucional.</w:t>
      </w:r>
    </w:p>
    <w:p w14:paraId="3DE9A3FF"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En primer lugar, deben identificarse los fines que se persiguen con la medida combatida para después poder determinar si son constitucionalmente válidos</w:t>
      </w:r>
      <w:r w:rsidRPr="00A555A1">
        <w:rPr>
          <w:rFonts w:ascii="Century Gothic" w:eastAsia="Century Gothic" w:hAnsi="Century Gothic" w:cs="Century Gothic"/>
          <w:vertAlign w:val="superscript"/>
        </w:rPr>
        <w:footnoteReference w:id="85"/>
      </w:r>
      <w:r w:rsidRPr="00A555A1">
        <w:rPr>
          <w:rFonts w:ascii="Century Gothic" w:eastAsia="Century Gothic" w:hAnsi="Century Gothic" w:cs="Century Gothic"/>
        </w:rPr>
        <w:t>. En el caso concreto se acepta que las normas combatidas persiguen una finalidad constitucionalmente válida, como lo es la seguridad pública, pues de una interpretación teleológica de la ley se observa que la intención del legislador</w:t>
      </w:r>
      <w:r w:rsidRPr="00A555A1">
        <w:rPr>
          <w:rFonts w:ascii="Century Gothic" w:eastAsia="Century Gothic" w:hAnsi="Century Gothic" w:cs="Century Gothic"/>
          <w:vertAlign w:val="superscript"/>
        </w:rPr>
        <w:footnoteReference w:id="86"/>
      </w:r>
      <w:r w:rsidRPr="00A555A1">
        <w:rPr>
          <w:rFonts w:ascii="Century Gothic" w:eastAsia="Century Gothic" w:hAnsi="Century Gothic" w:cs="Century Gothic"/>
        </w:rPr>
        <w:t xml:space="preserve"> es combatir el fraude, la extorsión y </w:t>
      </w:r>
      <w:r w:rsidRPr="00A555A1">
        <w:rPr>
          <w:rFonts w:ascii="Century Gothic" w:eastAsia="Century Gothic" w:hAnsi="Century Gothic" w:cs="Century Gothic"/>
        </w:rPr>
        <w:lastRenderedPageBreak/>
        <w:t>el secuestro, lo cual se corrobora en la página oficial de la CRT</w:t>
      </w:r>
      <w:r w:rsidRPr="00A555A1">
        <w:rPr>
          <w:rFonts w:ascii="Century Gothic" w:eastAsia="Century Gothic" w:hAnsi="Century Gothic" w:cs="Century Gothic"/>
          <w:vertAlign w:val="superscript"/>
        </w:rPr>
        <w:footnoteReference w:id="87"/>
      </w:r>
      <w:r w:rsidRPr="00A555A1">
        <w:rPr>
          <w:rFonts w:ascii="Century Gothic" w:eastAsia="Century Gothic" w:hAnsi="Century Gothic" w:cs="Century Gothic"/>
        </w:rPr>
        <w:t>. No obstante, lo anterior, se reitera que la intencionalidad del legislador no justifica en sí misma la medida, sobre todo cuando la misma no cumple con el resto de las etapas del test de proporcionalidad, como a continuación se demuestra.</w:t>
      </w:r>
    </w:p>
    <w:p w14:paraId="47453040" w14:textId="77777777" w:rsidR="00001DF2" w:rsidRPr="00A555A1" w:rsidRDefault="00000000">
      <w:pPr>
        <w:spacing w:line="360" w:lineRule="auto"/>
        <w:jc w:val="both"/>
        <w:rPr>
          <w:rFonts w:ascii="Century Gothic" w:eastAsia="Century Gothic" w:hAnsi="Century Gothic" w:cs="Century Gothic"/>
          <w:b/>
          <w:bCs/>
        </w:rPr>
      </w:pPr>
      <w:r w:rsidRPr="00A555A1">
        <w:rPr>
          <w:rFonts w:ascii="Century Gothic" w:eastAsia="Century Gothic" w:hAnsi="Century Gothic" w:cs="Century Gothic"/>
          <w:b/>
          <w:bCs/>
        </w:rPr>
        <w:t>3. Incumplimiento del requisito de idoneidad</w:t>
      </w:r>
    </w:p>
    <w:p w14:paraId="4458D88C"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La segunda etapa del test de proporcionalidad exige examinar la idoneidad de las interferencias en el derecho a la privacidad y a la protección de datos personales para alcanzar el fin perseguido. La Primera Sala de la SCJN ha explicado que </w:t>
      </w:r>
      <w:r w:rsidRPr="00A555A1">
        <w:rPr>
          <w:rFonts w:ascii="Century Gothic" w:eastAsia="Century Gothic" w:hAnsi="Century Gothic" w:cs="Century Gothic"/>
          <w:i/>
          <w:iCs/>
        </w:rPr>
        <w:t>“en esta etapa del escrutinio debe analizarse si la medida impugnada tiende a alcanzar en algún grado los fines perseguidos por el legislador. En este sentido, el examen de idoneidad presupone la existencia de una relación entre la intervención al derecho y el fin que persigue dicha afectación, siendo suficiente que la medida contribuya en algún modo y en algún grado a lograr el propósito que busca el legislador.”</w:t>
      </w:r>
      <w:r w:rsidRPr="00A555A1">
        <w:rPr>
          <w:rFonts w:ascii="Century Gothic" w:eastAsia="Century Gothic" w:hAnsi="Century Gothic" w:cs="Century Gothic"/>
          <w:vertAlign w:val="superscript"/>
        </w:rPr>
        <w:footnoteReference w:id="88"/>
      </w:r>
    </w:p>
    <w:p w14:paraId="1F784FC6"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En este sentido, las autoridades responsables pretenden justificar la creación del Registro de Líneas aludiendo a la supuesta utilidad que el mismo podría tener para la prevención e investigación de hechos delictivos, en tanto se argumenta que dicho registro permitiría identificar a las personas que utilizan la telefonía móvil como instrumento de delito.</w:t>
      </w:r>
    </w:p>
    <w:p w14:paraId="65991B65"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Contrario a lo señalado por las responsables, no existe evidencia alguna que permita suponer que el registro obligatorio de líneas telefónicas móviles establecido en el artículo 103 de la LMTR y los Lineamientos de la CRT contribuya de forma efectiva a la prevención e investigación de delitos, </w:t>
      </w:r>
      <w:r w:rsidRPr="00A555A1">
        <w:rPr>
          <w:rFonts w:ascii="Century Gothic" w:eastAsia="Century Gothic" w:hAnsi="Century Gothic" w:cs="Century Gothic"/>
        </w:rPr>
        <w:lastRenderedPageBreak/>
        <w:t>como lo señala un estudio de la asociación GSMA, que agrupa a más de 800 operadores de telefonía móvil en el mundo GSMA</w:t>
      </w:r>
      <w:r w:rsidRPr="00A555A1">
        <w:rPr>
          <w:rFonts w:ascii="Century Gothic" w:eastAsia="Century Gothic" w:hAnsi="Century Gothic" w:cs="Century Gothic"/>
          <w:vertAlign w:val="superscript"/>
        </w:rPr>
        <w:footnoteReference w:id="89"/>
      </w:r>
      <w:r w:rsidRPr="00A555A1">
        <w:rPr>
          <w:rFonts w:ascii="Century Gothic" w:eastAsia="Century Gothic" w:hAnsi="Century Gothic" w:cs="Century Gothic"/>
        </w:rPr>
        <w:t>.</w:t>
      </w:r>
    </w:p>
    <w:p w14:paraId="3DBCE1EF" w14:textId="5D5CE1B1"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Resulta inverosímil y carente de toda lógica suponer que los integrantes de grupos de la delincuencia organizada llevarán a cabo hechos delictivos utilizando teléfonos móviles asociados a su identidad y, mucho menos, sometiéndose a una "prueba de vida" facial como exigen los concesionarios al amparo de los Lineamientos. Tal como se argumentó y validó en </w:t>
      </w:r>
      <w:r w:rsidR="00FB6CD4" w:rsidRPr="00A555A1">
        <w:rPr>
          <w:rFonts w:ascii="Century Gothic" w:eastAsia="Century Gothic" w:hAnsi="Century Gothic" w:cs="Century Gothic"/>
        </w:rPr>
        <w:t>el Caso PANAUT</w:t>
      </w:r>
      <w:r w:rsidRPr="00A555A1">
        <w:rPr>
          <w:rFonts w:ascii="Century Gothic" w:eastAsia="Century Gothic" w:hAnsi="Century Gothic" w:cs="Century Gothic"/>
        </w:rPr>
        <w:t>, la premisa de que los delincuentes usarán aparatos a su nombre es falsa.</w:t>
      </w:r>
    </w:p>
    <w:p w14:paraId="266961AE" w14:textId="77777777" w:rsidR="006C48F9"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Igualmente, conforme a los artículos 18 y 19 de los Lineamientos actuales, la vinculación de líneas de personas morales o Entes Públicos únicamente permite identificar al representante legal, sin que de lo anterior pueda desprenderse la identidad de la persona real responsable de una comunicación que sea instrumento de un delito. En este sentido, no puede construirse un nexo causal inequívoco entre el registro exigido por la LMTR y la identificación de quienes delinquen.</w:t>
      </w:r>
    </w:p>
    <w:p w14:paraId="00096FF8" w14:textId="66B770A5"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Adicionalmente, la realidad fáctica demuestra que la delincuencia cuenta con múltiples maneras de eludir el registro, la UIF</w:t>
      </w:r>
      <w:r w:rsidRPr="00A555A1">
        <w:rPr>
          <w:rFonts w:ascii="Century Gothic" w:eastAsia="Century Gothic" w:hAnsi="Century Gothic" w:cs="Century Gothic"/>
          <w:vertAlign w:val="superscript"/>
        </w:rPr>
        <w:footnoteReference w:id="90"/>
      </w:r>
      <w:r w:rsidRPr="00A555A1">
        <w:rPr>
          <w:rFonts w:ascii="Century Gothic" w:eastAsia="Century Gothic" w:hAnsi="Century Gothic" w:cs="Century Gothic"/>
        </w:rPr>
        <w:t xml:space="preserve"> en su reciente Guía de monitoreo identificó que alrededor del 70% de las operaciones de extorsión son dirigidas y operadas desde el interior de los Centros Penitenciarios, combatir este fenómeno requiere la cancelación y anulación permanente de señales dentro de los penales (obligación ya existente en el artículo 183, fracción VIII de la LMTR</w:t>
      </w:r>
      <w:r w:rsidRPr="00A555A1">
        <w:rPr>
          <w:rFonts w:ascii="Century Gothic" w:eastAsia="Century Gothic" w:hAnsi="Century Gothic" w:cs="Century Gothic"/>
          <w:vertAlign w:val="superscript"/>
        </w:rPr>
        <w:footnoteReference w:id="91"/>
      </w:r>
      <w:r w:rsidRPr="00A555A1">
        <w:rPr>
          <w:rFonts w:ascii="Century Gothic" w:eastAsia="Century Gothic" w:hAnsi="Century Gothic" w:cs="Century Gothic"/>
        </w:rPr>
        <w:t xml:space="preserve">), una medida que la SCJN </w:t>
      </w:r>
      <w:r w:rsidRPr="00A555A1">
        <w:rPr>
          <w:rFonts w:ascii="Century Gothic" w:eastAsia="Century Gothic" w:hAnsi="Century Gothic" w:cs="Century Gothic"/>
        </w:rPr>
        <w:lastRenderedPageBreak/>
        <w:t>consideró idónea y menos restrictiva de derechos, y no la exigencia tratamiento de datos personales y datos personales sensibles.</w:t>
      </w:r>
    </w:p>
    <w:p w14:paraId="051921E3"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Asimismo, las disposiciones impugnadas han propiciado la conformación de un mercado negro en el que se comercializan tarjetas SIM previamente registradas bajo identidades usurpadas o ficticias, fenómeno ampliamente documentado por la prensa nacional</w:t>
      </w:r>
      <w:r w:rsidRPr="00A555A1">
        <w:rPr>
          <w:rFonts w:ascii="Century Gothic" w:eastAsia="Century Gothic" w:hAnsi="Century Gothic" w:cs="Century Gothic"/>
          <w:vertAlign w:val="superscript"/>
        </w:rPr>
        <w:footnoteReference w:id="92"/>
      </w:r>
      <w:r w:rsidRPr="00A555A1">
        <w:rPr>
          <w:rFonts w:ascii="Century Gothic" w:eastAsia="Century Gothic" w:hAnsi="Century Gothic" w:cs="Century Gothic"/>
        </w:rPr>
        <w:t>. Tal situación traslada al gobernado la carga de verificar, entre más de un centenar de proveedores</w:t>
      </w:r>
      <w:r w:rsidRPr="00A555A1">
        <w:rPr>
          <w:rFonts w:ascii="Century Gothic" w:eastAsia="Century Gothic" w:hAnsi="Century Gothic" w:cs="Century Gothic"/>
          <w:vertAlign w:val="superscript"/>
        </w:rPr>
        <w:footnoteReference w:id="93"/>
      </w:r>
      <w:r w:rsidRPr="00A555A1">
        <w:rPr>
          <w:rFonts w:ascii="Century Gothic" w:eastAsia="Century Gothic" w:hAnsi="Century Gothic" w:cs="Century Gothic"/>
        </w:rPr>
        <w:t xml:space="preserve"> de telefonía móvil, si existen líneas registradas a su nombre sin su consentimiento, exponiéndolo a un estado de indefensión y vulnerando su esfera jurídica.</w:t>
      </w:r>
    </w:p>
    <w:p w14:paraId="3035BC10"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Aunado a ello, resulta factible utilizar tarjetas SIM de otros países en los que no existe, aún, obligación de registro, por lo que, dada la cercanía territorial, la oferta de servicios sin cobro por roaming internacional hace que la adquisición y uso de estas tarjetas sea accesible. Esta elusión del sistema cuenta, por el momento, con el aval del propio Estado, pues el Artículo Transitorio Noveno de los Lineamientos</w:t>
      </w:r>
      <w:r w:rsidRPr="00A555A1">
        <w:rPr>
          <w:rFonts w:ascii="Century Gothic" w:eastAsia="Century Gothic" w:hAnsi="Century Gothic" w:cs="Century Gothic"/>
          <w:vertAlign w:val="superscript"/>
        </w:rPr>
        <w:footnoteReference w:id="94"/>
      </w:r>
      <w:r w:rsidRPr="00A555A1">
        <w:rPr>
          <w:rFonts w:ascii="Century Gothic" w:eastAsia="Century Gothic" w:hAnsi="Century Gothic" w:cs="Century Gothic"/>
        </w:rPr>
        <w:t xml:space="preserve"> exenta de la vinculación a las líneas en Roaming Internacional con motivo del Mundial de Fútbol 2026.</w:t>
      </w:r>
    </w:p>
    <w:p w14:paraId="187C7498"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Igualmente, existe amplia evidencia de ataques que permiten suplantar (swapping), duplicar o clonar una tarjeta SIM. Autoridades reguladoras como la Federal Communications Commission (FCC)</w:t>
      </w:r>
      <w:r w:rsidRPr="00A555A1">
        <w:rPr>
          <w:rFonts w:ascii="Century Gothic" w:eastAsia="Century Gothic" w:hAnsi="Century Gothic" w:cs="Century Gothic"/>
          <w:vertAlign w:val="superscript"/>
        </w:rPr>
        <w:footnoteReference w:id="95"/>
      </w:r>
      <w:r w:rsidRPr="00A555A1">
        <w:rPr>
          <w:rFonts w:ascii="Century Gothic" w:eastAsia="Century Gothic" w:hAnsi="Century Gothic" w:cs="Century Gothic"/>
        </w:rPr>
        <w:t xml:space="preserve"> de los Estados Unidos han advertido sobre estos riesgos, mediante los cuales un tercero puede realizar comunicaciones usurpando una línea adquirida legalmente. En la actualidad, es previsible que la delincuencia recurra no solo al robo de equipos y clonación, sino al uso de Inteligencia Artificial para generar identidades sintéticas (deepfakes)</w:t>
      </w:r>
      <w:r w:rsidRPr="00A555A1">
        <w:rPr>
          <w:rFonts w:ascii="Century Gothic" w:eastAsia="Century Gothic" w:hAnsi="Century Gothic" w:cs="Century Gothic"/>
          <w:vertAlign w:val="superscript"/>
        </w:rPr>
        <w:footnoteReference w:id="96"/>
      </w:r>
      <w:r w:rsidRPr="00A555A1">
        <w:rPr>
          <w:rFonts w:ascii="Century Gothic" w:eastAsia="Century Gothic" w:hAnsi="Century Gothic" w:cs="Century Gothic"/>
        </w:rPr>
        <w:t xml:space="preserve"> que engañen los algoritmos de </w:t>
      </w:r>
      <w:r w:rsidRPr="00A555A1">
        <w:rPr>
          <w:rFonts w:ascii="Century Gothic" w:eastAsia="Century Gothic" w:hAnsi="Century Gothic" w:cs="Century Gothic"/>
        </w:rPr>
        <w:lastRenderedPageBreak/>
        <w:t>las “pruebas de vida” remotas implementadas por concesionarias como la responsable, aparentando ser personas distintas.</w:t>
      </w:r>
    </w:p>
    <w:p w14:paraId="7991B71E" w14:textId="10DBF9B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Asimismo, existen múltiples servicios de Voz sobre el Protocolo de Internet (VOIP)</w:t>
      </w:r>
      <w:r w:rsidRPr="00A555A1">
        <w:rPr>
          <w:rFonts w:ascii="Century Gothic" w:eastAsia="Century Gothic" w:hAnsi="Century Gothic" w:cs="Century Gothic"/>
          <w:vertAlign w:val="superscript"/>
        </w:rPr>
        <w:footnoteReference w:id="97"/>
      </w:r>
      <w:r w:rsidRPr="00A555A1">
        <w:rPr>
          <w:rFonts w:ascii="Century Gothic" w:eastAsia="Century Gothic" w:hAnsi="Century Gothic" w:cs="Century Gothic"/>
        </w:rPr>
        <w:t xml:space="preserve"> que permiten la realización de llamadas y enviar SMS a través de internet sin necesidad de una tarjeta SIM ni de estar sujetos a los Lineamientos de la CRT. Los servicios VoIP permiten incluso a una persona usuaria elegir el número que aparecerá en el identificador de llamadas del destinatario (spoofing), lo cual facilita a la delincuencia realizar extorsiones aparentando ser personas legítimamente vinculadas al amparo de la LMTR</w:t>
      </w:r>
      <w:r w:rsidR="006C48F9" w:rsidRPr="00A555A1">
        <w:rPr>
          <w:rFonts w:ascii="Century Gothic" w:eastAsia="Century Gothic" w:hAnsi="Century Gothic" w:cs="Century Gothic"/>
        </w:rPr>
        <w:t xml:space="preserve"> y los Lineamientos</w:t>
      </w:r>
      <w:r w:rsidRPr="00A555A1">
        <w:rPr>
          <w:rFonts w:ascii="Century Gothic" w:eastAsia="Century Gothic" w:hAnsi="Century Gothic" w:cs="Century Gothic"/>
        </w:rPr>
        <w:t>.</w:t>
      </w:r>
    </w:p>
    <w:p w14:paraId="662AFA2C" w14:textId="3AAA5DDD"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De esta manera, frente a la ausencia de evidencia de que requisitos de identidad para la adquisición y uso de tarjetas SIM contribuyan a la reducción de índices delictivos; frente al contundente criterio de la SCJN en </w:t>
      </w:r>
      <w:r w:rsidR="00FB6CD4" w:rsidRPr="00A555A1">
        <w:rPr>
          <w:rFonts w:ascii="Century Gothic" w:eastAsia="Century Gothic" w:hAnsi="Century Gothic" w:cs="Century Gothic"/>
        </w:rPr>
        <w:t xml:space="preserve">el Caso PANAUT </w:t>
      </w:r>
      <w:r w:rsidRPr="00A555A1">
        <w:rPr>
          <w:rFonts w:ascii="Century Gothic" w:eastAsia="Century Gothic" w:hAnsi="Century Gothic" w:cs="Century Gothic"/>
        </w:rPr>
        <w:t xml:space="preserve">que resolvió que la creación de padrones masivos incumple con el principio de necesidad al existir alternativas menos lesivas; y dado que la delincuencia opera desde penales, adquiere chips en el mercado negro, usa </w:t>
      </w:r>
      <w:r w:rsidRPr="00A555A1">
        <w:rPr>
          <w:rFonts w:ascii="Century Gothic" w:eastAsia="Century Gothic" w:hAnsi="Century Gothic" w:cs="Century Gothic"/>
          <w:i/>
          <w:iCs/>
        </w:rPr>
        <w:t>roaming</w:t>
      </w:r>
      <w:r w:rsidRPr="00A555A1">
        <w:rPr>
          <w:rFonts w:ascii="Century Gothic" w:eastAsia="Century Gothic" w:hAnsi="Century Gothic" w:cs="Century Gothic"/>
        </w:rPr>
        <w:t xml:space="preserve"> no regulado o servicios VoIP, es evidente que el artículo 103 de la LMTR y los Lineamientos incumplen el requisito de idoneidad al no existir un nexo instrumental real que contribuya a la seguridad pública.</w:t>
      </w:r>
    </w:p>
    <w:p w14:paraId="7B9675AC" w14:textId="77777777" w:rsidR="002A432E" w:rsidRDefault="002A432E" w:rsidP="002A432E">
      <w:pPr>
        <w:spacing w:line="360" w:lineRule="auto"/>
        <w:ind w:firstLine="1418"/>
        <w:jc w:val="both"/>
        <w:rPr>
          <w:rFonts w:ascii="Century Gothic" w:eastAsia="Century Gothic" w:hAnsi="Century Gothic" w:cs="Century Gothic"/>
        </w:rPr>
      </w:pPr>
      <w:r>
        <w:rPr>
          <w:rFonts w:ascii="Century Gothic" w:eastAsia="Century Gothic" w:hAnsi="Century Gothic" w:cs="Century Gothic"/>
        </w:rPr>
        <w:t>No obstante lo anterior, aun en el supuesto remoto de que se considere que las normas combatidas contribuyen ínfimamente a la consecución de la finalidad perseguida, las invasiones a los derechos a la privacidad, intimidad y la violación al principio de autodeterminación informativa —como la sustracción coactiva de una "prueba de vida" biométrica para alimentar y entrenar algoritmos de Inteligencia Artificial— resultan a todas luces innecesarias y desproporcionadas en sentido estricto, vulnerando una tutela constitucional reforzada que el Tribunal Pleno de la SCJN ya protegió al invalidar sistemas de vigilancia masiva equivalentes.</w:t>
      </w:r>
    </w:p>
    <w:p w14:paraId="51E4872E" w14:textId="77777777" w:rsidR="00001DF2" w:rsidRPr="00A555A1" w:rsidRDefault="00000000">
      <w:pPr>
        <w:spacing w:line="360" w:lineRule="auto"/>
        <w:jc w:val="both"/>
        <w:rPr>
          <w:rFonts w:ascii="Century Gothic" w:eastAsia="Century Gothic" w:hAnsi="Century Gothic" w:cs="Century Gothic"/>
          <w:b/>
          <w:bCs/>
        </w:rPr>
      </w:pPr>
      <w:r w:rsidRPr="00A555A1">
        <w:rPr>
          <w:rFonts w:ascii="Century Gothic" w:eastAsia="Century Gothic" w:hAnsi="Century Gothic" w:cs="Century Gothic"/>
          <w:b/>
          <w:bCs/>
        </w:rPr>
        <w:t>4. Incumplimiento del requisito de necesidad</w:t>
      </w:r>
    </w:p>
    <w:p w14:paraId="4722BE50"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En la tercera etapa del test de proporcionalidad corresponde analizar si la interferencia en el derecho a la privacidad y protección de datos </w:t>
      </w:r>
      <w:r w:rsidRPr="00A555A1">
        <w:rPr>
          <w:rFonts w:ascii="Century Gothic" w:eastAsia="Century Gothic" w:hAnsi="Century Gothic" w:cs="Century Gothic"/>
        </w:rPr>
        <w:lastRenderedPageBreak/>
        <w:t xml:space="preserve">personales es necesaria o si, por el contrario, existen medidas alternativas que sean idóneas pero que afecten en menor grado el derecho fundamental. </w:t>
      </w:r>
    </w:p>
    <w:p w14:paraId="1AEBCB4C"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De esta manera, según la Primera Sala de la SCJN </w:t>
      </w:r>
      <w:r w:rsidRPr="00A555A1">
        <w:rPr>
          <w:rFonts w:ascii="Century Gothic" w:eastAsia="Century Gothic" w:hAnsi="Century Gothic" w:cs="Century Gothic"/>
          <w:i/>
          <w:iCs/>
        </w:rPr>
        <w:t>“el examen de necesidad implica corroborar, en primer lugar, si existen otros medios igualmente idóneos para lograr los fines que se persiguen y, en segundo lugar, determinar si estas alternativas intervienen con menor intensidad el derecho fundamental afectado. Lo anterior supone hacer un catálogo de medidas alternativas y determinar el grado de idoneidad de éstas, es decir, evaluar su nivel de eficacia, rapidez, probabilidad o afectación material de su objeto.”</w:t>
      </w:r>
      <w:r w:rsidRPr="00A555A1">
        <w:rPr>
          <w:rFonts w:ascii="Century Gothic" w:eastAsia="Century Gothic" w:hAnsi="Century Gothic" w:cs="Century Gothic"/>
          <w:vertAlign w:val="superscript"/>
        </w:rPr>
        <w:footnoteReference w:id="98"/>
      </w:r>
      <w:r w:rsidRPr="00A555A1">
        <w:rPr>
          <w:rFonts w:ascii="Century Gothic" w:eastAsia="Century Gothic" w:hAnsi="Century Gothic" w:cs="Century Gothic"/>
        </w:rPr>
        <w:t xml:space="preserve"> </w:t>
      </w:r>
    </w:p>
    <w:p w14:paraId="62E2D9FB"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Contrario a lo señalado por las autoridades responsables, obligar a un registro generalizado de líneas telefónicas móviles —como el establecido en el artículo 103 de la LMTR y los recientes Lineamientos emitidos por la CRT— es una medida innecesaria, ineficaz y desproporcionada que vulnera los derechos a la privacidad, intimidad y protección de datos personales.</w:t>
      </w:r>
    </w:p>
    <w:p w14:paraId="33D154F1" w14:textId="17639F10"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Al resolver </w:t>
      </w:r>
      <w:r w:rsidR="00FB6CD4" w:rsidRPr="00A555A1">
        <w:rPr>
          <w:rFonts w:ascii="Century Gothic" w:eastAsia="Century Gothic" w:hAnsi="Century Gothic" w:cs="Century Gothic"/>
        </w:rPr>
        <w:t>el Caso PANAUT</w:t>
      </w:r>
      <w:r w:rsidRPr="00A555A1">
        <w:rPr>
          <w:rFonts w:ascii="Century Gothic" w:eastAsia="Century Gothic" w:hAnsi="Century Gothic" w:cs="Century Gothic"/>
        </w:rPr>
        <w:t>, el Tribunal Pleno de la SCJN determinó que para que una medida supere el examen de necesidad, se debe corroborar que no existan otros medios igualmente idóneos para lograr los fines perseguidos que intervengan con menor intensidad el derecho fundamental afectado.</w:t>
      </w:r>
    </w:p>
    <w:p w14:paraId="00B46477" w14:textId="4B39CB76"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En dicho precedente, de aplicación obligatoria para es</w:t>
      </w:r>
      <w:r w:rsidR="006C6C42" w:rsidRPr="00A555A1">
        <w:rPr>
          <w:rFonts w:ascii="Century Gothic" w:eastAsia="Century Gothic" w:hAnsi="Century Gothic" w:cs="Century Gothic"/>
        </w:rPr>
        <w:t>t</w:t>
      </w:r>
      <w:r w:rsidRPr="00A555A1">
        <w:rPr>
          <w:rFonts w:ascii="Century Gothic" w:eastAsia="Century Gothic" w:hAnsi="Century Gothic" w:cs="Century Gothic"/>
        </w:rPr>
        <w:t xml:space="preserve">e H. Juzgado, la SCJN declaró inconstitucional el PANAUT precisamente porque las autoridades de seguridad y procuración de justicia </w:t>
      </w:r>
      <w:r w:rsidRPr="00A555A1">
        <w:rPr>
          <w:rFonts w:ascii="Century Gothic" w:eastAsia="Century Gothic" w:hAnsi="Century Gothic" w:cs="Century Gothic"/>
          <w:b/>
          <w:bCs/>
        </w:rPr>
        <w:t xml:space="preserve">ya cuentan con un </w:t>
      </w:r>
      <w:r w:rsidRPr="00A555A1">
        <w:rPr>
          <w:rFonts w:ascii="Century Gothic" w:eastAsia="Century Gothic" w:hAnsi="Century Gothic" w:cs="Century Gothic"/>
          <w:b/>
          <w:bCs/>
        </w:rPr>
        <w:lastRenderedPageBreak/>
        <w:t>amplio catálogo de técnicas de investigación que les permiten obtener elementos considerablemente más útiles para identificar a las personas responsables</w:t>
      </w:r>
      <w:r w:rsidRPr="00A555A1">
        <w:rPr>
          <w:rFonts w:ascii="Century Gothic" w:eastAsia="Century Gothic" w:hAnsi="Century Gothic" w:cs="Century Gothic"/>
        </w:rPr>
        <w:t xml:space="preserve"> de un delito, sin someter a toda la población a una vigilancia masiva</w:t>
      </w:r>
      <w:r w:rsidRPr="00A555A1">
        <w:rPr>
          <w:rFonts w:ascii="Century Gothic" w:eastAsia="Century Gothic" w:hAnsi="Century Gothic" w:cs="Century Gothic"/>
          <w:vertAlign w:val="superscript"/>
        </w:rPr>
        <w:footnoteReference w:id="99"/>
      </w:r>
      <w:r w:rsidRPr="00A555A1">
        <w:rPr>
          <w:rFonts w:ascii="Century Gothic" w:eastAsia="Century Gothic" w:hAnsi="Century Gothic" w:cs="Century Gothic"/>
        </w:rPr>
        <w:t xml:space="preserve">. </w:t>
      </w:r>
    </w:p>
    <w:p w14:paraId="237EE493"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Dichas alternativas constitucionales no son hipotéticas, sino que </w:t>
      </w:r>
      <w:r w:rsidRPr="00A555A1">
        <w:rPr>
          <w:rFonts w:ascii="Century Gothic" w:eastAsia="Century Gothic" w:hAnsi="Century Gothic" w:cs="Century Gothic"/>
          <w:b/>
          <w:bCs/>
        </w:rPr>
        <w:t>se encuentran plenamente vigentes y reguladas en la legislación actual</w:t>
      </w:r>
      <w:r w:rsidRPr="00A555A1">
        <w:rPr>
          <w:rFonts w:ascii="Century Gothic" w:eastAsia="Century Gothic" w:hAnsi="Century Gothic" w:cs="Century Gothic"/>
        </w:rPr>
        <w:t>, específicamente en el Código Nacional de Procedimientos Penales (en adelante, CNPP), la Ley de la Guardia Nacional (en adelante, LGN) y la propia LMTR:</w:t>
      </w:r>
    </w:p>
    <w:p w14:paraId="5613AFD9"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b/>
          <w:bCs/>
        </w:rPr>
        <w:lastRenderedPageBreak/>
        <w:t>- Geolocalización en tiempo real y entrega de datos conservados:</w:t>
      </w:r>
      <w:r w:rsidRPr="00A555A1">
        <w:rPr>
          <w:rFonts w:ascii="Century Gothic" w:eastAsia="Century Gothic" w:hAnsi="Century Gothic" w:cs="Century Gothic"/>
        </w:rPr>
        <w:t xml:space="preserve"> El </w:t>
      </w:r>
      <w:r w:rsidRPr="00A555A1">
        <w:rPr>
          <w:rFonts w:ascii="Century Gothic" w:eastAsia="Century Gothic" w:hAnsi="Century Gothic" w:cs="Century Gothic"/>
          <w:b/>
          <w:bCs/>
        </w:rPr>
        <w:t>artículo 303 del CNPP</w:t>
      </w:r>
      <w:r w:rsidRPr="00A555A1">
        <w:rPr>
          <w:rFonts w:ascii="Century Gothic" w:eastAsia="Century Gothic" w:hAnsi="Century Gothic" w:cs="Century Gothic"/>
        </w:rPr>
        <w:t xml:space="preserve"> faculta expresamente a las autoridades para solicitar al Juez de control la localización geográfica en tiempo real y la entrega de los datos conservados de equipos de comunicación móvil relacionados con hechos delictivos. Esta facultad se ejerce en estricta coordinación con el </w:t>
      </w:r>
      <w:r w:rsidRPr="00A555A1">
        <w:rPr>
          <w:rFonts w:ascii="Century Gothic" w:eastAsia="Century Gothic" w:hAnsi="Century Gothic" w:cs="Century Gothic"/>
          <w:b/>
          <w:bCs/>
        </w:rPr>
        <w:t>artículo 183 de la LMTR</w:t>
      </w:r>
      <w:r w:rsidRPr="00A555A1">
        <w:rPr>
          <w:rFonts w:ascii="Century Gothic" w:eastAsia="Century Gothic" w:hAnsi="Century Gothic" w:cs="Century Gothic"/>
        </w:rPr>
        <w:t xml:space="preserve">, que obliga a los concesionarios a conservar datos de tráfico (origen, destino, fecha, duración y ubicación). A diferencia del registro indiscriminado impuesto por los Lineamientos, el CNPP exige que esta medida cuente con </w:t>
      </w:r>
      <w:r w:rsidRPr="00A555A1">
        <w:rPr>
          <w:rFonts w:ascii="Century Gothic" w:eastAsia="Century Gothic" w:hAnsi="Century Gothic" w:cs="Century Gothic"/>
          <w:b/>
          <w:bCs/>
        </w:rPr>
        <w:t>control judicial y se circunscriba a personas o equipos específicos con indicios delictivos</w:t>
      </w:r>
      <w:r w:rsidRPr="00A555A1">
        <w:rPr>
          <w:rFonts w:ascii="Century Gothic" w:eastAsia="Century Gothic" w:hAnsi="Century Gothic" w:cs="Century Gothic"/>
        </w:rPr>
        <w:t>, resguardando la privacidad del resto de los ciudadanos inocentes.</w:t>
      </w:r>
    </w:p>
    <w:p w14:paraId="4C4DF202"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 </w:t>
      </w:r>
      <w:r w:rsidRPr="00A555A1">
        <w:rPr>
          <w:rFonts w:ascii="Century Gothic" w:eastAsia="Century Gothic" w:hAnsi="Century Gothic" w:cs="Century Gothic"/>
          <w:b/>
          <w:bCs/>
        </w:rPr>
        <w:t>Intervención de comunicaciones privadas:</w:t>
      </w:r>
      <w:r w:rsidRPr="00A555A1">
        <w:rPr>
          <w:rFonts w:ascii="Century Gothic" w:eastAsia="Century Gothic" w:hAnsi="Century Gothic" w:cs="Century Gothic"/>
        </w:rPr>
        <w:t xml:space="preserve"> Los </w:t>
      </w:r>
      <w:r w:rsidRPr="00A555A1">
        <w:rPr>
          <w:rFonts w:ascii="Century Gothic" w:eastAsia="Century Gothic" w:hAnsi="Century Gothic" w:cs="Century Gothic"/>
          <w:b/>
          <w:bCs/>
        </w:rPr>
        <w:t>artículos 252, fracción III y 291 del CNPP</w:t>
      </w:r>
      <w:r w:rsidRPr="00A555A1">
        <w:rPr>
          <w:rFonts w:ascii="Century Gothic" w:eastAsia="Century Gothic" w:hAnsi="Century Gothic" w:cs="Century Gothic"/>
        </w:rPr>
        <w:t xml:space="preserve"> establecen el procedimiento para autorizar judicialmente la intervención de comunicaciones privadas y correspondencia, así como la extracción de información. A la par, los </w:t>
      </w:r>
      <w:r w:rsidRPr="00A555A1">
        <w:rPr>
          <w:rFonts w:ascii="Century Gothic" w:eastAsia="Century Gothic" w:hAnsi="Century Gothic" w:cs="Century Gothic"/>
          <w:b/>
          <w:bCs/>
        </w:rPr>
        <w:t>artículos 90 al 96 de la LGN</w:t>
      </w:r>
      <w:r w:rsidRPr="00A555A1">
        <w:rPr>
          <w:rFonts w:ascii="Century Gothic" w:eastAsia="Century Gothic" w:hAnsi="Century Gothic" w:cs="Century Gothic"/>
        </w:rPr>
        <w:t xml:space="preserve"> facultan directamente a esta institución de seguridad pública a solicitar ante la autoridad judicial la intervención preventiva de comunicaciones telefónicas para delitos graves (como extorsión y delincuencia organizada), por su parte el </w:t>
      </w:r>
      <w:r w:rsidRPr="00A555A1">
        <w:rPr>
          <w:rFonts w:ascii="Century Gothic" w:eastAsia="Century Gothic" w:hAnsi="Century Gothic" w:cs="Century Gothic"/>
          <w:b/>
          <w:bCs/>
        </w:rPr>
        <w:t>último párrafo del artículo 183 de la LMTR</w:t>
      </w:r>
      <w:r w:rsidRPr="00A555A1">
        <w:rPr>
          <w:rFonts w:ascii="Century Gothic" w:eastAsia="Century Gothic" w:hAnsi="Century Gothic" w:cs="Century Gothic"/>
        </w:rPr>
        <w:t xml:space="preserve"> se encuentra en armonía con dichas disposiciones al establecer que la intervención de comunicaciones privadas requiere una orden judicial. La SCJN resolvió que estas medidas procesales son igual de idóneas para combatir el delito, pero mucho menos restrictivas porque son temporales, focalizadas y están sujetas a un </w:t>
      </w:r>
      <w:r w:rsidRPr="00A555A1">
        <w:rPr>
          <w:rFonts w:ascii="Century Gothic" w:eastAsia="Century Gothic" w:hAnsi="Century Gothic" w:cs="Century Gothic"/>
          <w:b/>
          <w:bCs/>
        </w:rPr>
        <w:t>control judicial riguroso</w:t>
      </w:r>
      <w:r w:rsidRPr="00A555A1">
        <w:rPr>
          <w:rFonts w:ascii="Century Gothic" w:eastAsia="Century Gothic" w:hAnsi="Century Gothic" w:cs="Century Gothic"/>
        </w:rPr>
        <w:t>.</w:t>
      </w:r>
    </w:p>
    <w:p w14:paraId="654A1489"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b/>
          <w:bCs/>
        </w:rPr>
        <w:t>- Bloqueo de señales en centros penitenciarios:</w:t>
      </w:r>
      <w:r w:rsidRPr="00A555A1">
        <w:rPr>
          <w:rFonts w:ascii="Century Gothic" w:eastAsia="Century Gothic" w:hAnsi="Century Gothic" w:cs="Century Gothic"/>
        </w:rPr>
        <w:t xml:space="preserve"> El </w:t>
      </w:r>
      <w:r w:rsidRPr="00A555A1">
        <w:rPr>
          <w:rFonts w:ascii="Century Gothic" w:eastAsia="Century Gothic" w:hAnsi="Century Gothic" w:cs="Century Gothic"/>
          <w:b/>
          <w:bCs/>
        </w:rPr>
        <w:t>artículo 183, fracción VIII de la LMTR</w:t>
      </w:r>
      <w:r w:rsidRPr="00A555A1">
        <w:rPr>
          <w:rFonts w:ascii="Century Gothic" w:eastAsia="Century Gothic" w:hAnsi="Century Gothic" w:cs="Century Gothic"/>
        </w:rPr>
        <w:t>, ordena la anulación permanente de señales dentro de los centros de readaptación social. Esta medida resulta considerablemente más idónea y proporcional para prevenir la extorsión, sin invadir los datos personales y personales sensibles de la población civil que no se encuentra privada de la libertad.</w:t>
      </w:r>
    </w:p>
    <w:p w14:paraId="6602B57E"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A pesar de la preexistencia de este andamiaje legal, el artículo 103 de la LMTR y los Lineamientos optan inconstitucionalmente por el camino más lesivo: la recolección indiscriminada de datos personales y "pruebas de </w:t>
      </w:r>
      <w:r w:rsidRPr="00A555A1">
        <w:rPr>
          <w:rFonts w:ascii="Century Gothic" w:eastAsia="Century Gothic" w:hAnsi="Century Gothic" w:cs="Century Gothic"/>
        </w:rPr>
        <w:lastRenderedPageBreak/>
        <w:t>vida" de más de 154 millones de líneas móviles en México</w:t>
      </w:r>
      <w:r w:rsidRPr="00A555A1">
        <w:rPr>
          <w:rFonts w:ascii="Century Gothic" w:eastAsia="Century Gothic" w:hAnsi="Century Gothic" w:cs="Century Gothic"/>
          <w:vertAlign w:val="superscript"/>
        </w:rPr>
        <w:footnoteReference w:id="100"/>
      </w:r>
      <w:r w:rsidRPr="00A555A1">
        <w:rPr>
          <w:rFonts w:ascii="Century Gothic" w:eastAsia="Century Gothic" w:hAnsi="Century Gothic" w:cs="Century Gothic"/>
        </w:rPr>
        <w:t>, permitiendo el almacenamiento y tratamiento de información íntima sin el control judicial exigido por el CNPP y la CPEUM.</w:t>
      </w:r>
    </w:p>
    <w:p w14:paraId="10F987EE"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Además de la inconstitucionalidad declarada por la SCJN, resulta inverosímil y carente de toda lógica fáctica suponer que los integrantes de la delincuencia organizada llevarán a cabo ilícitos utilizando teléfonos móviles asociados a su verdadera identidad o sometiéndose a una "prueba de vida" facial. De acuerdo con el informe </w:t>
      </w:r>
      <w:r w:rsidRPr="00A555A1">
        <w:rPr>
          <w:rFonts w:ascii="Century Gothic" w:eastAsia="Century Gothic" w:hAnsi="Century Gothic" w:cs="Century Gothic"/>
          <w:i/>
          <w:iCs/>
        </w:rPr>
        <w:t>Percepciones de Impunidad 2025</w:t>
      </w:r>
      <w:r w:rsidRPr="00A555A1">
        <w:rPr>
          <w:rFonts w:ascii="Century Gothic" w:eastAsia="Century Gothic" w:hAnsi="Century Gothic" w:cs="Century Gothic"/>
        </w:rPr>
        <w:t xml:space="preserve"> de la organización Impunidad Cero</w:t>
      </w:r>
      <w:r w:rsidRPr="00A555A1">
        <w:rPr>
          <w:rFonts w:ascii="Century Gothic" w:eastAsia="Century Gothic" w:hAnsi="Century Gothic" w:cs="Century Gothic"/>
          <w:vertAlign w:val="superscript"/>
        </w:rPr>
        <w:footnoteReference w:id="101"/>
      </w:r>
      <w:r w:rsidRPr="00A555A1">
        <w:rPr>
          <w:rFonts w:ascii="Century Gothic" w:eastAsia="Century Gothic" w:hAnsi="Century Gothic" w:cs="Century Gothic"/>
        </w:rPr>
        <w:t>, más del 90% de los delitos cometidos en México entre 2012 y 2024 permanecieron impunes, evidenciando que el problema de la inseguridad radica en la ineficacia del sistema de investigación, y no en la falta de entrega masiva de datos ciudadanos.</w:t>
      </w:r>
    </w:p>
    <w:p w14:paraId="4FE0712E"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Una vez identificados medios iguales o más idóneos que las disposiciones normativas combatidas para la prevención e investigación de delitos cometidos a través de la telefonía móvil, corresponde analizar si dichas alternativas intervienen con menor intensidad en los derechos a la privacidad y protección de datos personales.</w:t>
      </w:r>
    </w:p>
    <w:p w14:paraId="7062C2A2"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En este sentido, es claro que medidas como la geolocalización en tiempo real de equipos de comunicación móvil, el acceso a datos conservados y la intervención de comunicaciones privadas, al únicamente afectar de manera focalizada a un número limitado de personas respecto de las cuales existan indicios de organización o participación de hechos delictivos determinado.</w:t>
      </w:r>
    </w:p>
    <w:p w14:paraId="17D1A149" w14:textId="21E5E144"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Además, estas medidas alternativas cuentan con control judicial previo o inmediato, por lo que afectan en menor medida los derechos a la privacidad y la protección de datos personales que las normas combatidas. En contraste, los preceptos y lineamientos impugnados contemplan la recolección y el tratamiento indiscriminado de datos personales —incluyendo datos personales sensibles— de la totalidad de las personas usuarias de telefonía móvil, donde inclusive, las autoridades responsables omiten por completo regular, limitar o prohibir el entrenamiento de modelos de </w:t>
      </w:r>
      <w:r w:rsidRPr="00A555A1">
        <w:rPr>
          <w:rFonts w:ascii="Century Gothic" w:eastAsia="Century Gothic" w:hAnsi="Century Gothic" w:cs="Century Gothic"/>
        </w:rPr>
        <w:lastRenderedPageBreak/>
        <w:t xml:space="preserve">Inteligencia Artificial con dicha información. Este grave vacío regulatorio permite que la concesionaria responsable admita, de manera descarada en su propio Aviso de Privacidad, que los datos personales e íntimos que extrae coactivamente de los usuarios son utilizados para el entrenamiento y mejora de </w:t>
      </w:r>
      <w:r w:rsidR="00DD5852" w:rsidRPr="00A555A1">
        <w:rPr>
          <w:rFonts w:ascii="Century Gothic" w:eastAsia="Century Gothic" w:hAnsi="Century Gothic" w:cs="Century Gothic"/>
        </w:rPr>
        <w:t>herramientas tecnológicas</w:t>
      </w:r>
      <w:r w:rsidRPr="00A555A1">
        <w:rPr>
          <w:rFonts w:ascii="Century Gothic" w:eastAsia="Century Gothic" w:hAnsi="Century Gothic" w:cs="Century Gothic"/>
        </w:rPr>
        <w:t xml:space="preserve">; exponiendo así la biometría y la </w:t>
      </w:r>
      <w:r w:rsidR="00DD5852" w:rsidRPr="00A555A1">
        <w:rPr>
          <w:rFonts w:ascii="Century Gothic" w:eastAsia="Century Gothic" w:hAnsi="Century Gothic" w:cs="Century Gothic"/>
        </w:rPr>
        <w:t>“</w:t>
      </w:r>
      <w:r w:rsidRPr="00A555A1">
        <w:rPr>
          <w:rFonts w:ascii="Century Gothic" w:eastAsia="Century Gothic" w:hAnsi="Century Gothic" w:cs="Century Gothic"/>
        </w:rPr>
        <w:t>prueba de vida</w:t>
      </w:r>
      <w:r w:rsidR="00DD5852" w:rsidRPr="00A555A1">
        <w:rPr>
          <w:rFonts w:ascii="Century Gothic" w:eastAsia="Century Gothic" w:hAnsi="Century Gothic" w:cs="Century Gothic"/>
        </w:rPr>
        <w:t>”</w:t>
      </w:r>
      <w:r w:rsidRPr="00A555A1">
        <w:rPr>
          <w:rFonts w:ascii="Century Gothic" w:eastAsia="Century Gothic" w:hAnsi="Century Gothic" w:cs="Century Gothic"/>
        </w:rPr>
        <w:t xml:space="preserve"> de millones de mexicanos a un procesamiento algorítmico corporativo ajeno a cualquier escrutinio judicial, mercantilizando la intimidad ciudadana sin que exista salvaguarda legal alguna que lo impida.</w:t>
      </w:r>
    </w:p>
    <w:p w14:paraId="60253EAA" w14:textId="5AD5F52D"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Finalmente, en congruencia con lo resuelto por la SCJN en </w:t>
      </w:r>
      <w:r w:rsidR="00FB6CD4" w:rsidRPr="00A555A1">
        <w:rPr>
          <w:rFonts w:ascii="Century Gothic" w:eastAsia="Century Gothic" w:hAnsi="Century Gothic" w:cs="Century Gothic"/>
        </w:rPr>
        <w:t>el Caso PANAUT</w:t>
      </w:r>
      <w:r w:rsidRPr="00A555A1">
        <w:rPr>
          <w:rFonts w:ascii="Century Gothic" w:eastAsia="Century Gothic" w:hAnsi="Century Gothic" w:cs="Century Gothic"/>
        </w:rPr>
        <w:t>, se advierte que alternativas de registro y validación de la identidad que no implican la recolección de datos biométricos, ni su procesamiento a través de herramientas de Inteligencia Artificial de terceros, resultan ser menos invasivas en los derechos a la privacidad y la protección de datos personales y ofrecen la misma idoneidad —o falta de ella— para facilitar la prevención e investigación de hechos delictivos cometidos utilizando la telefonía móvil.</w:t>
      </w:r>
    </w:p>
    <w:p w14:paraId="0FE1F519"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Esta total falta de necesidad y el exceso de la medida quedan en evidencia, de manera flagrante, al analizar la información pública oficial emitida por la propia autoridad responsable. En la página web institucional habilitada por la CRT (</w:t>
      </w:r>
      <w:r w:rsidRPr="00A555A1">
        <w:rPr>
          <w:rFonts w:ascii="Century Gothic" w:eastAsia="Century Gothic" w:hAnsi="Century Gothic" w:cs="Century Gothic"/>
          <w:i/>
          <w:iCs/>
        </w:rPr>
        <w:t>https://registratulinea.crt.gob.mx/</w:t>
      </w:r>
      <w:r w:rsidRPr="00A555A1">
        <w:rPr>
          <w:rFonts w:ascii="Century Gothic" w:eastAsia="Century Gothic" w:hAnsi="Century Gothic" w:cs="Century Gothic"/>
        </w:rPr>
        <w:t>), se informa textualmente a la ciudadanía que el registro consiste en: “</w:t>
      </w:r>
      <w:r w:rsidRPr="00A555A1">
        <w:rPr>
          <w:rFonts w:ascii="Century Gothic" w:eastAsia="Century Gothic" w:hAnsi="Century Gothic" w:cs="Century Gothic"/>
          <w:i/>
          <w:iCs/>
        </w:rPr>
        <w:t>Asociar cada línea a una CURP para identificar y suspender las líneas anónimas que son usadas para delitos”</w:t>
      </w:r>
      <w:r w:rsidRPr="00A555A1">
        <w:rPr>
          <w:rFonts w:ascii="Century Gothic" w:eastAsia="Century Gothic" w:hAnsi="Century Gothic" w:cs="Century Gothic"/>
        </w:rPr>
        <w:t xml:space="preserve"> y se asegura categóricamente que: </w:t>
      </w:r>
      <w:r w:rsidRPr="00A555A1">
        <w:rPr>
          <w:rFonts w:ascii="Century Gothic" w:eastAsia="Century Gothic" w:hAnsi="Century Gothic" w:cs="Century Gothic"/>
          <w:b/>
          <w:bCs/>
          <w:i/>
          <w:iCs/>
        </w:rPr>
        <w:t xml:space="preserve">“El registro está a cargo de las compañías telefónicas y para realizarlo </w:t>
      </w:r>
      <w:r w:rsidRPr="00A555A1">
        <w:rPr>
          <w:rFonts w:ascii="Century Gothic" w:eastAsia="Century Gothic" w:hAnsi="Century Gothic" w:cs="Century Gothic"/>
          <w:b/>
          <w:bCs/>
          <w:i/>
          <w:iCs/>
          <w:u w:val="single"/>
        </w:rPr>
        <w:t>solo necesitas tu credencial vigente</w:t>
      </w:r>
      <w:r w:rsidRPr="00A555A1">
        <w:rPr>
          <w:rFonts w:ascii="Century Gothic" w:eastAsia="Century Gothic" w:hAnsi="Century Gothic" w:cs="Century Gothic"/>
          <w:b/>
          <w:bCs/>
          <w:i/>
          <w:iCs/>
        </w:rPr>
        <w:t>”.</w:t>
      </w:r>
    </w:p>
    <w:p w14:paraId="6A8484CA" w14:textId="10ABB09C"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Esta afirmación gubernamental es totalmente contradictoria con la realidad normativa de los </w:t>
      </w:r>
      <w:r w:rsidRPr="00A555A1">
        <w:rPr>
          <w:rFonts w:ascii="Century Gothic" w:eastAsia="Century Gothic" w:hAnsi="Century Gothic" w:cs="Century Gothic"/>
          <w:i/>
          <w:iCs/>
        </w:rPr>
        <w:t>Lineamientos</w:t>
      </w:r>
      <w:r w:rsidRPr="00A555A1">
        <w:rPr>
          <w:rFonts w:ascii="Century Gothic" w:eastAsia="Century Gothic" w:hAnsi="Century Gothic" w:cs="Century Gothic"/>
        </w:rPr>
        <w:t xml:space="preserve"> y con las políticas de privacidad impuestas, mientras la CRT le publicita al ciudadano que </w:t>
      </w:r>
      <w:r w:rsidRPr="00A555A1">
        <w:rPr>
          <w:rFonts w:ascii="Century Gothic" w:eastAsia="Century Gothic" w:hAnsi="Century Gothic" w:cs="Century Gothic"/>
          <w:i/>
          <w:iCs/>
        </w:rPr>
        <w:t>“solo necesita su credencial”</w:t>
      </w:r>
      <w:r w:rsidRPr="00A555A1">
        <w:rPr>
          <w:rFonts w:ascii="Century Gothic" w:eastAsia="Century Gothic" w:hAnsi="Century Gothic" w:cs="Century Gothic"/>
        </w:rPr>
        <w:t xml:space="preserve">, en la vía de los hechos —mediante el artículo 24 de sus Lineamientos y bajo la coacción de las concesionarias— se le oculta al usuario que será forzado a someterse a una </w:t>
      </w:r>
      <w:r w:rsidR="00DD5852" w:rsidRPr="00A555A1">
        <w:rPr>
          <w:rFonts w:ascii="Century Gothic" w:eastAsia="Century Gothic" w:hAnsi="Century Gothic" w:cs="Century Gothic"/>
        </w:rPr>
        <w:t>“</w:t>
      </w:r>
      <w:r w:rsidRPr="00A555A1">
        <w:rPr>
          <w:rFonts w:ascii="Century Gothic" w:eastAsia="Century Gothic" w:hAnsi="Century Gothic" w:cs="Century Gothic"/>
        </w:rPr>
        <w:t>Prueba de Vida</w:t>
      </w:r>
      <w:r w:rsidR="00DD5852" w:rsidRPr="00A555A1">
        <w:rPr>
          <w:rFonts w:ascii="Century Gothic" w:eastAsia="Century Gothic" w:hAnsi="Century Gothic" w:cs="Century Gothic"/>
        </w:rPr>
        <w:t>”</w:t>
      </w:r>
      <w:r w:rsidRPr="00A555A1">
        <w:rPr>
          <w:rFonts w:ascii="Century Gothic" w:eastAsia="Century Gothic" w:hAnsi="Century Gothic" w:cs="Century Gothic"/>
        </w:rPr>
        <w:t xml:space="preserve"> y a la extracción de su biometría para reconocimiento facial. Esta contradicción prueba de manera irrefutable que la propia autoridad reconoce que una validación documental simple (la sola presentación del INE) sería la medida idónea y suficiente para sus propósitos, convirtiendo la extracción biométrica </w:t>
      </w:r>
      <w:r w:rsidRPr="00A555A1">
        <w:rPr>
          <w:rFonts w:ascii="Century Gothic" w:eastAsia="Century Gothic" w:hAnsi="Century Gothic" w:cs="Century Gothic"/>
        </w:rPr>
        <w:lastRenderedPageBreak/>
        <w:t xml:space="preserve">y el entrenamiento de </w:t>
      </w:r>
      <w:r w:rsidR="00DD5852" w:rsidRPr="00A555A1">
        <w:rPr>
          <w:rFonts w:ascii="Century Gothic" w:eastAsia="Century Gothic" w:hAnsi="Century Gothic" w:cs="Century Gothic"/>
        </w:rPr>
        <w:t>herramientas tecnológicas</w:t>
      </w:r>
      <w:r w:rsidRPr="00A555A1">
        <w:rPr>
          <w:rFonts w:ascii="Century Gothic" w:eastAsia="Century Gothic" w:hAnsi="Century Gothic" w:cs="Century Gothic"/>
        </w:rPr>
        <w:t xml:space="preserve"> que aplican la concesionaria responsable en un exceso regulatorio innecesario.</w:t>
      </w:r>
    </w:p>
    <w:p w14:paraId="78E728DF" w14:textId="0D47D5AF"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De esta manera, se corrobora que la obligación de registro impuesta por el artículo 103 de la LMTR y la operación dictada en los Lineamientos de la CRT no cumplen con el requisito constitucional de necesidad</w:t>
      </w:r>
      <w:r w:rsidR="00DD5852" w:rsidRPr="00A555A1">
        <w:rPr>
          <w:rFonts w:ascii="Century Gothic" w:eastAsia="Century Gothic" w:hAnsi="Century Gothic" w:cs="Century Gothic"/>
        </w:rPr>
        <w:t>, a</w:t>
      </w:r>
      <w:r w:rsidRPr="00A555A1">
        <w:rPr>
          <w:rFonts w:ascii="Century Gothic" w:eastAsia="Century Gothic" w:hAnsi="Century Gothic" w:cs="Century Gothic"/>
        </w:rPr>
        <w:t>l existir medidas alternativas menos lesivas en el ordenamiento penal que cuentan con control judicial previo, se confirma la inconstitucionalidad de las normas combatidas al violentar el principio de mínima intervención.</w:t>
      </w:r>
    </w:p>
    <w:p w14:paraId="5717FE01" w14:textId="03CDD49E"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No obstante, lo anterior, y a efecto de evidenciar la gravedad del engaño institucional y el nivel de abuso tecnológico tolerado por el Estado, resulta pertinente analizar la siguiente y última etapa del test de proporcionalidad (en sentido estricto). </w:t>
      </w:r>
      <w:r w:rsidR="002A432E">
        <w:rPr>
          <w:rFonts w:ascii="Century Gothic" w:eastAsia="Century Gothic" w:hAnsi="Century Gothic" w:cs="Century Gothic"/>
        </w:rPr>
        <w:t>Esto a manera de comprobar que las invasiones a la intimidad, a la privacidad y la violación al principio de autodeterminación informativa provocadas por las normas combatidas son, bajo cualquier escenario, absolutamente desproporcionadas.</w:t>
      </w:r>
    </w:p>
    <w:p w14:paraId="4E78441B" w14:textId="77777777" w:rsidR="00001DF2" w:rsidRPr="00A555A1" w:rsidRDefault="00000000">
      <w:pPr>
        <w:spacing w:line="360" w:lineRule="auto"/>
        <w:jc w:val="both"/>
        <w:rPr>
          <w:rFonts w:ascii="Century Gothic" w:eastAsia="Century Gothic" w:hAnsi="Century Gothic" w:cs="Century Gothic"/>
          <w:b/>
          <w:bCs/>
        </w:rPr>
      </w:pPr>
      <w:r w:rsidRPr="00A555A1">
        <w:rPr>
          <w:rFonts w:ascii="Century Gothic" w:eastAsia="Century Gothic" w:hAnsi="Century Gothic" w:cs="Century Gothic"/>
          <w:b/>
          <w:bCs/>
        </w:rPr>
        <w:t>5. Incumplimiento del requisito de proporcionalidad en sentido estricto</w:t>
      </w:r>
    </w:p>
    <w:p w14:paraId="76D98E2E"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En la cuarta etapa del test de proporcionalidad corresponde llevar a cabo finalmente un examen de proporcionalidad en sentido estricto. La Primera Sala de la SCJN ha explicado que esta grada del test </w:t>
      </w:r>
      <w:r w:rsidRPr="00A555A1">
        <w:rPr>
          <w:rFonts w:ascii="Century Gothic" w:eastAsia="Century Gothic" w:hAnsi="Century Gothic" w:cs="Century Gothic"/>
          <w:i/>
          <w:iCs/>
        </w:rPr>
        <w:t>“consiste en efectuar un balance o ponderación entre dos principios que compiten en un caso concreto. Dicho análisis requiere comparar el grado de intervención en el derecho fundamental que supone la medida legislativa examinada, frente al grado de realización del fin perseguido por ésta . En otras palabras, en esta fase del escrutinio es preciso realizar una ponderación entre los beneficios que cabe esperar de una limitación desde la perspectiva de los fines que se persiguen, frente a los costos que necesariamente se producirán desde la perspectiva de los derechos fundamentales afectados. De este modo, la medida impugnada sólo será constitucional si el nivel de realización del fin constitucional que persigue el legislador es mayor al nivel de intervención en el derecho fundamental. En caso contrario, la medida será desproporcionada y, como consecuencia, inconstitucional.”</w:t>
      </w:r>
      <w:r w:rsidRPr="00A555A1">
        <w:rPr>
          <w:rFonts w:ascii="Century Gothic" w:eastAsia="Century Gothic" w:hAnsi="Century Gothic" w:cs="Century Gothic"/>
          <w:vertAlign w:val="superscript"/>
        </w:rPr>
        <w:footnoteReference w:id="102"/>
      </w:r>
    </w:p>
    <w:p w14:paraId="13307AC4"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lastRenderedPageBreak/>
        <w:t>A la luz del estándar de escrutinio estricto que exige la recolección de datos sensibles (biométricos e intimidad), resulta procedente analizar el grado de afectación provocado por el artículo 103 de la LMTR y los Lineamientos de la CRT, para posteriormente ponderarlo frente a la nula realización del fin de seguridad pública.</w:t>
      </w:r>
    </w:p>
    <w:p w14:paraId="45E27503"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Del análisis de las normas combatidas se desprenden características que evidencian una intromisión devastadora a la privacidad. En particular, debe apreciarse el carácter masivo y generalizado de la exigencia de registro pues dicha obligación pretende abarcar a la totalidad de las personas usuarias de telefonía móvil (más de 144.5 millones de líneas en el país), respecto de las cuales no existen indicios que sugieran que su comportamiento guarda relación con la comisión de delitos.</w:t>
      </w:r>
    </w:p>
    <w:p w14:paraId="1BAFDCB1" w14:textId="4C257603"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Como resolvió el Tribunal Pleno de la SCJN en </w:t>
      </w:r>
      <w:r w:rsidR="00FB6CD4" w:rsidRPr="00A555A1">
        <w:rPr>
          <w:rFonts w:ascii="Century Gothic" w:eastAsia="Century Gothic" w:hAnsi="Century Gothic" w:cs="Century Gothic"/>
        </w:rPr>
        <w:t>el Caso PANAUT</w:t>
      </w:r>
      <w:r w:rsidRPr="00A555A1">
        <w:rPr>
          <w:rFonts w:ascii="Century Gothic" w:eastAsia="Century Gothic" w:hAnsi="Century Gothic" w:cs="Century Gothic"/>
        </w:rPr>
        <w:t xml:space="preserve">, al invalidar el extinto PANAUT, la recopilación, administración y conservación por tiempo indeterminado de la información privada y los datos personales de </w:t>
      </w:r>
      <w:r w:rsidRPr="00A555A1">
        <w:rPr>
          <w:rFonts w:ascii="Century Gothic" w:eastAsia="Century Gothic" w:hAnsi="Century Gothic" w:cs="Century Gothic"/>
          <w:i/>
          <w:iCs/>
        </w:rPr>
        <w:t>toda</w:t>
      </w:r>
      <w:r w:rsidRPr="00A555A1">
        <w:rPr>
          <w:rFonts w:ascii="Century Gothic" w:eastAsia="Century Gothic" w:hAnsi="Century Gothic" w:cs="Century Gothic"/>
        </w:rPr>
        <w:t xml:space="preserve"> aquella persona titular de una línea, genera una afectación no razonable a la privacidad e intimidad que </w:t>
      </w:r>
      <w:r w:rsidRPr="00A555A1">
        <w:rPr>
          <w:rFonts w:ascii="Century Gothic" w:eastAsia="Century Gothic" w:hAnsi="Century Gothic" w:cs="Century Gothic"/>
          <w:b/>
          <w:bCs/>
        </w:rPr>
        <w:t xml:space="preserve">"infringe desproporcionadamente tales derechos, lo que resulta incompatible con las exigencias y estándares que impone una sociedad democrática" </w:t>
      </w:r>
      <w:r w:rsidRPr="00A555A1">
        <w:rPr>
          <w:rFonts w:ascii="Century Gothic" w:eastAsia="Century Gothic" w:hAnsi="Century Gothic" w:cs="Century Gothic"/>
        </w:rPr>
        <w:t>(párr. 391). Este criterio es coincidente con los precedentes del Tribunal de Justicia de la Unión Europea</w:t>
      </w:r>
      <w:r w:rsidRPr="00A555A1">
        <w:rPr>
          <w:rFonts w:ascii="Century Gothic" w:eastAsia="Century Gothic" w:hAnsi="Century Gothic" w:cs="Century Gothic"/>
          <w:vertAlign w:val="superscript"/>
        </w:rPr>
        <w:footnoteReference w:id="103"/>
      </w:r>
      <w:r w:rsidRPr="00A555A1">
        <w:rPr>
          <w:rFonts w:ascii="Century Gothic" w:eastAsia="Century Gothic" w:hAnsi="Century Gothic" w:cs="Century Gothic"/>
        </w:rPr>
        <w:t>, los cuales establecen que la recolección sobre la totalidad de los usuarios no es proporcional.</w:t>
      </w:r>
    </w:p>
    <w:p w14:paraId="44B23BA8"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lastRenderedPageBreak/>
        <w:t>La gravedad se multiplica exponencialmente bajo la actual normativa, ya que las bases de datos centralizadas de gran escala conllevan el riesgo de convertirse en un "punto único de falla" sumamente atractivo para ciberataques. Situación que ya se materializó, pues el registro ha amenazado la privacidad de los usuarios con las recientes vulnerabilidades tecnológicas presentadas en sistemas de operadoras como Telcel</w:t>
      </w:r>
      <w:r w:rsidRPr="00A555A1">
        <w:rPr>
          <w:rFonts w:ascii="Century Gothic" w:eastAsia="Century Gothic" w:hAnsi="Century Gothic" w:cs="Century Gothic"/>
          <w:vertAlign w:val="superscript"/>
        </w:rPr>
        <w:footnoteReference w:id="104"/>
      </w:r>
      <w:r w:rsidRPr="00A555A1">
        <w:rPr>
          <w:rFonts w:ascii="Century Gothic" w:eastAsia="Century Gothic" w:hAnsi="Century Gothic" w:cs="Century Gothic"/>
        </w:rPr>
        <w:t xml:space="preserve"> quien según la propia CRT</w:t>
      </w:r>
      <w:r w:rsidRPr="00A555A1">
        <w:rPr>
          <w:rFonts w:ascii="Century Gothic" w:eastAsia="Century Gothic" w:hAnsi="Century Gothic" w:cs="Century Gothic"/>
          <w:vertAlign w:val="superscript"/>
        </w:rPr>
        <w:footnoteReference w:id="105"/>
      </w:r>
      <w:r w:rsidRPr="00A555A1">
        <w:rPr>
          <w:rFonts w:ascii="Century Gothic" w:eastAsia="Century Gothic" w:hAnsi="Century Gothic" w:cs="Century Gothic"/>
        </w:rPr>
        <w:t xml:space="preserve"> representa el 57.90% del total de líneas activas, por lo que se dejaron expuestos los datos de millones de personas.</w:t>
      </w:r>
    </w:p>
    <w:p w14:paraId="04A76F35"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Como ha sido advertido por organismos internacionales de protección de derechos humanos, la creación de bases de datos de información biométrica a gran escala suscita graves preocupaciones por sus consecuencias para los derechos humanos. Estos son datos particularmente delicados, ya que, por definición, están indisociablemente vinculados a una persona concreta y a su vida, y pueden ser objeto de vulneraciones graves e incluso irreversibles. Por ejemplo, el robo de la identidad a través de los datos biométricos es muy difícil de reparar y puede afectar gravemente a los derechos de una persona</w:t>
      </w:r>
      <w:r w:rsidRPr="00A555A1">
        <w:rPr>
          <w:rFonts w:ascii="Century Gothic" w:eastAsia="Century Gothic" w:hAnsi="Century Gothic" w:cs="Century Gothic"/>
          <w:vertAlign w:val="superscript"/>
        </w:rPr>
        <w:footnoteReference w:id="106"/>
      </w:r>
      <w:r w:rsidRPr="00A555A1">
        <w:rPr>
          <w:rFonts w:ascii="Century Gothic" w:eastAsia="Century Gothic" w:hAnsi="Century Gothic" w:cs="Century Gothic"/>
        </w:rPr>
        <w:t>.</w:t>
      </w:r>
    </w:p>
    <w:p w14:paraId="2661E932"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En este sentido, las consecuencias de una vulneración a los registros de Líneas Telefónicas Móviles se agravan significativamente al incluirse datos biométricos para el entrenamiento de Inteligencia Artificial que el consumidor desconoce. Peor aún, condicionar la entrega de orden biométrico y documental (denominado eufemísticamente "Prueba de Vida") bajo la pena de suspender el servicio telefónico transgrede el derecho humano de acceso a las TIC y al Internet, consagrado en el artículo 6°, párrafo tercero de la CPEUM.</w:t>
      </w:r>
    </w:p>
    <w:p w14:paraId="153BEBB3" w14:textId="72761354"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Por otra parte, la exigencia de este registro biométrico transgrede frontalmente el derecho a la libertad de expresión y de difusión de información reconocido en los artículos 6º y 7º de la CPEUM. Como lo hizo notar en voto concurrente, el Ministro en retiro Arturo Zaldívar Lelo de Larrea en </w:t>
      </w:r>
      <w:r w:rsidR="00FB6CD4" w:rsidRPr="00A555A1">
        <w:rPr>
          <w:rFonts w:ascii="Century Gothic" w:eastAsia="Century Gothic" w:hAnsi="Century Gothic" w:cs="Century Gothic"/>
        </w:rPr>
        <w:t>el Caso PANAUT</w:t>
      </w:r>
      <w:r w:rsidRPr="00A555A1">
        <w:rPr>
          <w:rFonts w:ascii="Century Gothic" w:eastAsia="Century Gothic" w:hAnsi="Century Gothic" w:cs="Century Gothic"/>
        </w:rPr>
        <w:t xml:space="preserve">, la privacidad y el anonimato son condiciones necesarias </w:t>
      </w:r>
      <w:r w:rsidRPr="00A555A1">
        <w:rPr>
          <w:rFonts w:ascii="Century Gothic" w:eastAsia="Century Gothic" w:hAnsi="Century Gothic" w:cs="Century Gothic"/>
        </w:rPr>
        <w:lastRenderedPageBreak/>
        <w:t>e indisolubles para la materialización y comunicación de las ideas</w:t>
      </w:r>
      <w:r w:rsidRPr="00A555A1">
        <w:rPr>
          <w:rFonts w:ascii="Century Gothic" w:eastAsia="Century Gothic" w:hAnsi="Century Gothic" w:cs="Century Gothic"/>
          <w:vertAlign w:val="superscript"/>
        </w:rPr>
        <w:footnoteReference w:id="107"/>
      </w:r>
      <w:r w:rsidRPr="00A555A1">
        <w:rPr>
          <w:rFonts w:ascii="Century Gothic" w:eastAsia="Century Gothic" w:hAnsi="Century Gothic" w:cs="Century Gothic"/>
        </w:rPr>
        <w:t>. Asimismo, parafraseando al ministro en retiro Ministro Luis María Aguilar Morales, en su respectivo voto concurrente, al obligar a los ciudadanos a asociar su rostro e identidad a su única vía de comunicación, se menoscaba directamente el anonimato y el Estado incumple su obligación de no amedrentar la libre expresión, creando un ambiente hostil para el ejercicio de la crítica</w:t>
      </w:r>
      <w:r w:rsidRPr="00A555A1">
        <w:rPr>
          <w:rFonts w:ascii="Century Gothic" w:eastAsia="Century Gothic" w:hAnsi="Century Gothic" w:cs="Century Gothic"/>
          <w:vertAlign w:val="superscript"/>
        </w:rPr>
        <w:footnoteReference w:id="108"/>
      </w:r>
      <w:r w:rsidRPr="00A555A1">
        <w:rPr>
          <w:rFonts w:ascii="Century Gothic" w:eastAsia="Century Gothic" w:hAnsi="Century Gothic" w:cs="Century Gothic"/>
        </w:rPr>
        <w:t>. Esta coacción genera un efecto disuasivo que se traduce en una censura previa e indirecta —estrictamente prohibida por el segundo párrafo del artículo 7º constitucional— vulnerando el orden democrático y poniendo en riesgo particular el ejercicio periodístico y la libertad de expresión política.</w:t>
      </w:r>
    </w:p>
    <w:p w14:paraId="36CDDEE9"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En ese orden de ideas, esta amenaza de desconexión coactiva vulnera gravemente el </w:t>
      </w:r>
      <w:r w:rsidRPr="00A555A1">
        <w:rPr>
          <w:rFonts w:ascii="Century Gothic" w:eastAsia="Century Gothic" w:hAnsi="Century Gothic" w:cs="Century Gothic"/>
          <w:b/>
          <w:bCs/>
        </w:rPr>
        <w:t>principio de interdependencia de los derechos humanos</w:t>
      </w:r>
      <w:r w:rsidRPr="00A555A1">
        <w:rPr>
          <w:rFonts w:ascii="Century Gothic" w:eastAsia="Century Gothic" w:hAnsi="Century Gothic" w:cs="Century Gothic"/>
          <w:vertAlign w:val="superscript"/>
        </w:rPr>
        <w:footnoteReference w:id="109"/>
      </w:r>
      <w:r w:rsidRPr="00A555A1">
        <w:rPr>
          <w:rFonts w:ascii="Century Gothic" w:eastAsia="Century Gothic" w:hAnsi="Century Gothic" w:cs="Century Gothic"/>
        </w:rPr>
        <w:t xml:space="preserve"> reconocido en el artículo 1° Constitucional, se dice esto, porque </w:t>
      </w:r>
      <w:r w:rsidRPr="00A555A1">
        <w:rPr>
          <w:rFonts w:ascii="Century Gothic" w:eastAsia="Century Gothic" w:hAnsi="Century Gothic" w:cs="Century Gothic"/>
        </w:rPr>
        <w:lastRenderedPageBreak/>
        <w:t>al privar a la quejosa de su línea móvil —que para muchos es la única opción de conexión a Internet— se restringe en cascada el ejercicio de un catálogo de derechos y obligaciones que hoy dependen forzosamente del entorno digital. Al obligarla a ceder su privacidad e identidad para no ser desconectada, el Estado compromete su derecho a la protección de la salud (impidiendo la vinculación indispensable de líneas con plataformas de seguridad social como la del IMSS); vulnera su derecho al libre desarrollo y al libre comercio (al bloquear su inclusión financiera, la gestión de trámites y el acceso a la banca); vulnera su libertad de expresión, asociación y protesta en el entorno digital, y anula sus posibilidades de acceder a información plural y oportuna.</w:t>
      </w:r>
    </w:p>
    <w:p w14:paraId="12ED62EB"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La amenaza de desconexión y suspensión del servicio de telefonía móvil por negarse a la entrega coactiva de datos biométricos o mal llamada “Prueba de vida” constituye, además, un destierro injustificado de la plaza pública moderna, vulnerando la arquitectura de derechos que sostiene a nuestra democracia constitucional.</w:t>
      </w:r>
    </w:p>
    <w:p w14:paraId="37F895C8"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De manera reciente, el Tribunal Pleno de la SCJN ha establecido mediante jurisprudencia que los derechos fundamentales no operan como prerrogativas aisladas, sino como eslabones de una misma cadena normativa. Al analizar el </w:t>
      </w:r>
      <w:r w:rsidRPr="00A555A1">
        <w:rPr>
          <w:rFonts w:ascii="Century Gothic" w:eastAsia="Century Gothic" w:hAnsi="Century Gothic" w:cs="Century Gothic"/>
          <w:b/>
          <w:bCs/>
        </w:rPr>
        <w:t>Derecho a la Protesta</w:t>
      </w:r>
      <w:r w:rsidRPr="00A555A1">
        <w:rPr>
          <w:rFonts w:ascii="Century Gothic" w:eastAsia="Century Gothic" w:hAnsi="Century Gothic" w:cs="Century Gothic"/>
        </w:rPr>
        <w:t xml:space="preserve">, nuestro Máximo Tribunal determinó que el espacio público físico es un entorno donde convergen y se ejercen simultáneamente la libertad de pensamiento, de expresión, de reunión y de asociación, configurando un </w:t>
      </w:r>
      <w:r w:rsidRPr="00A555A1">
        <w:rPr>
          <w:rFonts w:ascii="Century Gothic" w:eastAsia="Century Gothic" w:hAnsi="Century Gothic" w:cs="Century Gothic"/>
          <w:i/>
          <w:iCs/>
        </w:rPr>
        <w:t>“ecosistema de libertades”</w:t>
      </w:r>
      <w:r w:rsidRPr="00A555A1">
        <w:rPr>
          <w:rFonts w:ascii="Century Gothic" w:eastAsia="Century Gothic" w:hAnsi="Century Gothic" w:cs="Century Gothic"/>
        </w:rPr>
        <w:t xml:space="preserve"> necesario para la deliberación pública y la rendición de cuentas.</w:t>
      </w:r>
      <w:r w:rsidRPr="00A555A1">
        <w:rPr>
          <w:rFonts w:ascii="Century Gothic" w:eastAsia="Century Gothic" w:hAnsi="Century Gothic" w:cs="Century Gothic"/>
          <w:vertAlign w:val="superscript"/>
        </w:rPr>
        <w:t xml:space="preserve"> </w:t>
      </w:r>
      <w:r w:rsidRPr="00A555A1">
        <w:rPr>
          <w:rFonts w:ascii="Century Gothic" w:eastAsia="Century Gothic" w:hAnsi="Century Gothic" w:cs="Century Gothic"/>
          <w:vertAlign w:val="superscript"/>
        </w:rPr>
        <w:footnoteReference w:id="110"/>
      </w:r>
      <w:r w:rsidRPr="00A555A1">
        <w:rPr>
          <w:rFonts w:ascii="Century Gothic" w:eastAsia="Century Gothic" w:hAnsi="Century Gothic" w:cs="Century Gothic"/>
        </w:rPr>
        <w:t xml:space="preserve"> </w:t>
      </w:r>
    </w:p>
    <w:p w14:paraId="5696ED46"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lastRenderedPageBreak/>
        <w:t xml:space="preserve">Este mismo “ecosistema de libertades” es el que hoy en día cobra vida y materialidad a través del acceso a Internet, por lo que las autoridades responsables ignoran que, en la era contemporánea, el Internet y las redes sociales han dejado de ser meros servicios de telecomunicación para consolidarse como el </w:t>
      </w:r>
      <w:r w:rsidRPr="00A555A1">
        <w:rPr>
          <w:rFonts w:ascii="Century Gothic" w:eastAsia="Century Gothic" w:hAnsi="Century Gothic" w:cs="Century Gothic"/>
          <w:b/>
          <w:bCs/>
        </w:rPr>
        <w:t>espacio público digital</w:t>
      </w:r>
      <w:r w:rsidRPr="00A555A1">
        <w:rPr>
          <w:rFonts w:ascii="Century Gothic" w:eastAsia="Century Gothic" w:hAnsi="Century Gothic" w:cs="Century Gothic"/>
        </w:rPr>
        <w:t xml:space="preserve"> por excelencia. La propia CIDH</w:t>
      </w:r>
      <w:r w:rsidRPr="00A555A1">
        <w:rPr>
          <w:rFonts w:ascii="Century Gothic" w:eastAsia="Century Gothic" w:hAnsi="Century Gothic" w:cs="Century Gothic"/>
          <w:vertAlign w:val="superscript"/>
        </w:rPr>
        <w:footnoteReference w:id="111"/>
      </w:r>
      <w:r w:rsidRPr="00A555A1">
        <w:rPr>
          <w:rFonts w:ascii="Century Gothic" w:eastAsia="Century Gothic" w:hAnsi="Century Gothic" w:cs="Century Gothic"/>
        </w:rPr>
        <w:t xml:space="preserve">, ha establecido que el acceso a la red constituye una condición </w:t>
      </w:r>
      <w:r w:rsidRPr="00A555A1">
        <w:rPr>
          <w:rFonts w:ascii="Century Gothic" w:eastAsia="Century Gothic" w:hAnsi="Century Gothic" w:cs="Century Gothic"/>
          <w:i/>
          <w:iCs/>
        </w:rPr>
        <w:t>sine qua non</w:t>
      </w:r>
      <w:r w:rsidRPr="00A555A1">
        <w:rPr>
          <w:rFonts w:ascii="Century Gothic" w:eastAsia="Century Gothic" w:hAnsi="Century Gothic" w:cs="Century Gothic"/>
        </w:rPr>
        <w:t xml:space="preserve"> para el ejercicio efectivo de los derechos a la libertad de expresión, asociación y reunión. Incluso, la exposición de motivos de la LMTR</w:t>
      </w:r>
      <w:r w:rsidRPr="00A555A1">
        <w:rPr>
          <w:rFonts w:ascii="Century Gothic" w:eastAsia="Century Gothic" w:hAnsi="Century Gothic" w:cs="Century Gothic"/>
          <w:vertAlign w:val="superscript"/>
        </w:rPr>
        <w:footnoteReference w:id="112"/>
      </w:r>
      <w:r w:rsidRPr="00A555A1">
        <w:rPr>
          <w:rFonts w:ascii="Century Gothic" w:eastAsia="Century Gothic" w:hAnsi="Century Gothic" w:cs="Century Gothic"/>
        </w:rPr>
        <w:t>, objeto del presente juicio, reconoce expresamente que el acceso a Internet impacta directamente en la participación ciudadana.</w:t>
      </w:r>
    </w:p>
    <w:p w14:paraId="77198B8A"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Por lo tanto, la suspensión de la línea telefónica que imponen el artículo 103 de la LMTR y los Lineamientos de la CRT como castigo por proteger la privacidad, tiene el efecto material de </w:t>
      </w:r>
      <w:r w:rsidRPr="00A555A1">
        <w:rPr>
          <w:rFonts w:ascii="Century Gothic" w:eastAsia="Century Gothic" w:hAnsi="Century Gothic" w:cs="Century Gothic"/>
          <w:b/>
          <w:bCs/>
        </w:rPr>
        <w:t>clausurar el acceso de la quejosa a la plaza pública virtual</w:t>
      </w:r>
      <w:r w:rsidRPr="00A555A1">
        <w:rPr>
          <w:rFonts w:ascii="Century Gothic" w:eastAsia="Century Gothic" w:hAnsi="Century Gothic" w:cs="Century Gothic"/>
        </w:rPr>
        <w:t>. Se le impide articularse con otros ciudadanos, ejercer el ciberactivismo, participar en la protesta social pacífica digital y acceder a la pluralidad de ideas.</w:t>
      </w:r>
    </w:p>
    <w:p w14:paraId="2A0B29AA" w14:textId="48BD4E60"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Este destierro digital se agrava al advertir que la medida exige vincular la identidad biológica (rostro/biometría) con el canal de expresión, lo cual destruye el anonimato. Tal y como lo resolvió la SCJN en </w:t>
      </w:r>
      <w:r w:rsidR="00FB6CD4" w:rsidRPr="00A555A1">
        <w:rPr>
          <w:rFonts w:ascii="Century Gothic" w:eastAsia="Century Gothic" w:hAnsi="Century Gothic" w:cs="Century Gothic"/>
        </w:rPr>
        <w:t>el Caso PANAUT</w:t>
      </w:r>
      <w:r w:rsidRPr="00A555A1">
        <w:rPr>
          <w:rFonts w:ascii="Century Gothic" w:eastAsia="Century Gothic" w:hAnsi="Century Gothic" w:cs="Century Gothic"/>
        </w:rPr>
        <w:t>, la privacidad y el anonimato juegan un papel indispensable para la materialización de las ideas, especialmente en redes sociales. Al obligar a los ciudadanos a entregar sus datos y tratar sus datos biométricos (prueba de vida) para acceder a Internet, el Estado incumple su obligación de no amedrentar el ejercicio de la crítica, constituyendo una medida de censura previa que genera un efecto disuasivo (</w:t>
      </w:r>
      <w:r w:rsidRPr="00A555A1">
        <w:rPr>
          <w:rFonts w:ascii="Century Gothic" w:eastAsia="Century Gothic" w:hAnsi="Century Gothic" w:cs="Century Gothic"/>
          <w:i/>
          <w:iCs/>
        </w:rPr>
        <w:t>chilling effect</w:t>
      </w:r>
      <w:r w:rsidRPr="00A555A1">
        <w:rPr>
          <w:rFonts w:ascii="Century Gothic" w:eastAsia="Century Gothic" w:hAnsi="Century Gothic" w:cs="Century Gothic"/>
        </w:rPr>
        <w:t>).</w:t>
      </w:r>
    </w:p>
    <w:p w14:paraId="094A3468"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En conclusión, afectar el acceso a Internet mediante la coacción biométrica no implica únicamente la privación de un servicio, sino que, aplicando el razonamiento más reciente de la SCJN sobre el espacio público </w:t>
      </w:r>
      <w:r w:rsidRPr="00A555A1">
        <w:rPr>
          <w:rFonts w:ascii="Century Gothic" w:eastAsia="Century Gothic" w:hAnsi="Century Gothic" w:cs="Century Gothic"/>
        </w:rPr>
        <w:lastRenderedPageBreak/>
        <w:t xml:space="preserve">(Registro digital: 2032259), </w:t>
      </w:r>
      <w:r w:rsidRPr="00A555A1">
        <w:rPr>
          <w:rFonts w:ascii="Century Gothic" w:eastAsia="Century Gothic" w:hAnsi="Century Gothic" w:cs="Century Gothic"/>
          <w:b/>
          <w:bCs/>
        </w:rPr>
        <w:t>implica incidir directamente en toda la arquitectura de derechos civiles y políticos que sostiene la deliberación ciudadana</w:t>
      </w:r>
      <w:r w:rsidRPr="00A555A1">
        <w:rPr>
          <w:rFonts w:ascii="Century Gothic" w:eastAsia="Century Gothic" w:hAnsi="Century Gothic" w:cs="Century Gothic"/>
        </w:rPr>
        <w:t>.</w:t>
      </w:r>
    </w:p>
    <w:p w14:paraId="141BA170" w14:textId="77777777" w:rsidR="002A432E" w:rsidRDefault="002A432E" w:rsidP="002A432E">
      <w:pPr>
        <w:spacing w:line="360" w:lineRule="auto"/>
        <w:ind w:firstLine="1418"/>
        <w:jc w:val="both"/>
        <w:rPr>
          <w:rFonts w:ascii="Century Gothic" w:eastAsia="Century Gothic" w:hAnsi="Century Gothic" w:cs="Century Gothic"/>
        </w:rPr>
      </w:pPr>
      <w:r>
        <w:rPr>
          <w:rFonts w:ascii="Century Gothic" w:eastAsia="Century Gothic" w:hAnsi="Century Gothic" w:cs="Century Gothic"/>
        </w:rPr>
        <w:t xml:space="preserve">Entonces, condicionar la entrada a este </w:t>
      </w:r>
      <w:r>
        <w:rPr>
          <w:rFonts w:ascii="Century Gothic" w:eastAsia="Century Gothic" w:hAnsi="Century Gothic" w:cs="Century Gothic"/>
          <w:i/>
          <w:iCs/>
        </w:rPr>
        <w:t xml:space="preserve">“ecosistema de libertades” </w:t>
      </w:r>
      <w:r>
        <w:rPr>
          <w:rFonts w:ascii="Century Gothic" w:eastAsia="Century Gothic" w:hAnsi="Century Gothic" w:cs="Century Gothic"/>
        </w:rPr>
        <w:t>a cambio de la renuncia a la intimidad y al principio de autodeterminación informativa, es una medida desproporcionada que asfixia el modelo democrático previsto en la CPEUM.</w:t>
      </w:r>
    </w:p>
    <w:p w14:paraId="04A3C821"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De igual manera, esta desconexión coactiva sitúa a la quejosa en un estado de absoluta indefensión fiscal e imposibilita materialmente el cumplimiento oportuno de su obligación constitucional de contribuir al gasto público, tutelada en el artículo 31, fracción IV, de la CPEUM.</w:t>
      </w:r>
    </w:p>
    <w:p w14:paraId="1A415350" w14:textId="37FBF04C"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Lo anterior resulta un absurdo jurídico provocado por el propio Estado, por un lado, la Regla 2.2.7 de la Resolución Miscelánea Fiscal</w:t>
      </w:r>
      <w:r w:rsidR="002E2562" w:rsidRPr="00A555A1">
        <w:rPr>
          <w:rFonts w:ascii="Century Gothic" w:eastAsia="Century Gothic" w:hAnsi="Century Gothic" w:cs="Century Gothic"/>
        </w:rPr>
        <w:t xml:space="preserve"> 2026</w:t>
      </w:r>
      <w:r w:rsidRPr="00A555A1">
        <w:rPr>
          <w:rFonts w:ascii="Century Gothic" w:eastAsia="Century Gothic" w:hAnsi="Century Gothic" w:cs="Century Gothic"/>
        </w:rPr>
        <w:t xml:space="preserve"> (en adelante, RMF), en correlación con los artículos 17-K, 17-H Bis y 134 del Código Fiscal de la Federación (en adelante, CFF), impone a los contribuyentes la obligación inexcusable de habilitar el Buzón Tributario, exigiendo registrar y confirmar un </w:t>
      </w:r>
      <w:r w:rsidRPr="00A555A1">
        <w:rPr>
          <w:rFonts w:ascii="Century Gothic" w:eastAsia="Century Gothic" w:hAnsi="Century Gothic" w:cs="Century Gothic"/>
          <w:b/>
          <w:bCs/>
        </w:rPr>
        <w:t>número de teléfono móvil</w:t>
      </w:r>
      <w:r w:rsidRPr="00A555A1">
        <w:rPr>
          <w:rFonts w:ascii="Century Gothic" w:eastAsia="Century Gothic" w:hAnsi="Century Gothic" w:cs="Century Gothic"/>
        </w:rPr>
        <w:t xml:space="preserve"> como mecanismo de comunicación y medio de contacto para el envío de avisos electrónicos. Sin embargo, por otro lado, si la ciudadana se niega a registrar su línea telefónica la LMTR y los Lineamientos de la CRT ordena la suspensión de ese mismo número telefónico</w:t>
      </w:r>
      <w:r w:rsidR="002E2562" w:rsidRPr="00A555A1">
        <w:rPr>
          <w:rFonts w:ascii="Century Gothic" w:eastAsia="Century Gothic" w:hAnsi="Century Gothic" w:cs="Century Gothic"/>
        </w:rPr>
        <w:t>.</w:t>
      </w:r>
    </w:p>
    <w:p w14:paraId="5725D5D0" w14:textId="44016532"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Al suspender la línea telefónica, </w:t>
      </w:r>
      <w:r w:rsidRPr="00A555A1">
        <w:rPr>
          <w:rFonts w:ascii="Century Gothic" w:eastAsia="Century Gothic" w:hAnsi="Century Gothic" w:cs="Century Gothic"/>
          <w:b/>
          <w:bCs/>
        </w:rPr>
        <w:t>el Estado anula el derecho del contribuyente a ser notificado oportunamente en materia tributaria</w:t>
      </w:r>
      <w:r w:rsidRPr="00A555A1">
        <w:rPr>
          <w:rFonts w:ascii="Century Gothic" w:eastAsia="Century Gothic" w:hAnsi="Century Gothic" w:cs="Century Gothic"/>
        </w:rPr>
        <w:t>, impidiéndole recibir los avisos del Buzón Tributario, lo que irremediablemente lo expone a</w:t>
      </w:r>
      <w:r w:rsidR="002E2562" w:rsidRPr="00A555A1">
        <w:rPr>
          <w:rFonts w:ascii="Century Gothic" w:eastAsia="Century Gothic" w:hAnsi="Century Gothic" w:cs="Century Gothic"/>
        </w:rPr>
        <w:t xml:space="preserve">l incumplimiento de obligaciones fiscales al no estar enterado y por lo tanto a </w:t>
      </w:r>
      <w:r w:rsidRPr="00A555A1">
        <w:rPr>
          <w:rFonts w:ascii="Century Gothic" w:eastAsia="Century Gothic" w:hAnsi="Century Gothic" w:cs="Century Gothic"/>
        </w:rPr>
        <w:t>la imposición de multas</w:t>
      </w:r>
      <w:r w:rsidR="002E2562" w:rsidRPr="00A555A1">
        <w:rPr>
          <w:rFonts w:ascii="Century Gothic" w:eastAsia="Century Gothic" w:hAnsi="Century Gothic" w:cs="Century Gothic"/>
        </w:rPr>
        <w:t>, créditos</w:t>
      </w:r>
      <w:r w:rsidRPr="00A555A1">
        <w:rPr>
          <w:rFonts w:ascii="Century Gothic" w:eastAsia="Century Gothic" w:hAnsi="Century Gothic" w:cs="Century Gothic"/>
        </w:rPr>
        <w:t>, a la restricción de sus Certificados de Sello Digital (CSD) —impidiéndole facturar y ejercer su libertad de trabajo— y a un estado de zozobra e inseguridad jurídica.</w:t>
      </w:r>
    </w:p>
    <w:p w14:paraId="61887DC7"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En ese sentido, resulta evidentemente desproporcionado e inconstitucional que el Estado coaccione a la quejosa a renunciar a su derecho humano a la privacidad, reconocido en el artículo 16 de la Constitución Política de los Estados Unidos Mexicanos, imponiéndolo como condición para el cumplimiento de sus obligaciones fiscales previstas en el artículo 31, fracción IV.</w:t>
      </w:r>
    </w:p>
    <w:p w14:paraId="4C4E26BD"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Siguiendo esta línea argumentativa, la medida no es proporcional, pues a la grave afectación al cumplimiento tributario y al estado de indefensión generado por la desconexión del servicio, debe </w:t>
      </w:r>
      <w:r w:rsidRPr="00A555A1">
        <w:rPr>
          <w:rFonts w:ascii="Century Gothic" w:eastAsia="Century Gothic" w:hAnsi="Century Gothic" w:cs="Century Gothic"/>
        </w:rPr>
        <w:lastRenderedPageBreak/>
        <w:t xml:space="preserve">sumarse un riesgo sistémico que demuestra la absoluta ineficacia de la medida combatida, la utilización de la infraestructura de defraudación fiscal para la operación impune de </w:t>
      </w:r>
      <w:r w:rsidRPr="00A555A1">
        <w:rPr>
          <w:rFonts w:ascii="Century Gothic" w:eastAsia="Century Gothic" w:hAnsi="Century Gothic" w:cs="Century Gothic"/>
          <w:i/>
          <w:iCs/>
        </w:rPr>
        <w:t>call centers</w:t>
      </w:r>
      <w:r w:rsidRPr="00A555A1">
        <w:rPr>
          <w:rFonts w:ascii="Century Gothic" w:eastAsia="Century Gothic" w:hAnsi="Century Gothic" w:cs="Century Gothic"/>
        </w:rPr>
        <w:t xml:space="preserve"> de extorsión.</w:t>
      </w:r>
    </w:p>
    <w:p w14:paraId="6D310CA1"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El artículo 10 de los Lineamientos establece una excepción que resulta en una laguna legal sumamente peligrosa, si bien la disposición impone un límite máximo de diez Líneas Telefónicas Móviles que pueden ser vinculadas por personas físicas, el propio numeral decreta que este tope no será aplicable a las </w:t>
      </w:r>
      <w:r w:rsidRPr="00A555A1">
        <w:rPr>
          <w:rFonts w:ascii="Century Gothic" w:eastAsia="Century Gothic" w:hAnsi="Century Gothic" w:cs="Century Gothic"/>
          <w:b/>
          <w:bCs/>
        </w:rPr>
        <w:t>personas morales, ni a las personas físicas con actividad empresarial</w:t>
      </w:r>
      <w:r w:rsidRPr="00A555A1">
        <w:rPr>
          <w:rFonts w:ascii="Century Gothic" w:eastAsia="Century Gothic" w:hAnsi="Century Gothic" w:cs="Century Gothic"/>
        </w:rPr>
        <w:t xml:space="preserve">, último caso en el cual, para saltarse la restricción, la norma establece que al proveedor le bastará con requerir la </w:t>
      </w:r>
      <w:r w:rsidRPr="00A555A1">
        <w:rPr>
          <w:rFonts w:ascii="Century Gothic" w:eastAsia="Century Gothic" w:hAnsi="Century Gothic" w:cs="Century Gothic"/>
          <w:i/>
          <w:iCs/>
        </w:rPr>
        <w:t>constancia de situación fiscal</w:t>
      </w:r>
      <w:r w:rsidRPr="00A555A1">
        <w:rPr>
          <w:rFonts w:ascii="Century Gothic" w:eastAsia="Century Gothic" w:hAnsi="Century Gothic" w:cs="Century Gothic"/>
        </w:rPr>
        <w:t xml:space="preserve"> para acreditar dicha circunstancia.</w:t>
      </w:r>
    </w:p>
    <w:p w14:paraId="0DBE72E1"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Esta permisión abre una "puerta trasera" que será explotada por la delincuencia organizada trasladando el </w:t>
      </w:r>
      <w:r w:rsidRPr="00A555A1">
        <w:rPr>
          <w:rFonts w:ascii="Century Gothic" w:eastAsia="Century Gothic" w:hAnsi="Century Gothic" w:cs="Century Gothic"/>
          <w:i/>
          <w:iCs/>
        </w:rPr>
        <w:t>modus operandi</w:t>
      </w:r>
      <w:r w:rsidRPr="00A555A1">
        <w:rPr>
          <w:rFonts w:ascii="Century Gothic" w:eastAsia="Century Gothic" w:hAnsi="Century Gothic" w:cs="Century Gothic"/>
        </w:rPr>
        <w:t xml:space="preserve"> de la defraudación fiscal hacia el ámbito de las telecomunicaciones.</w:t>
      </w:r>
    </w:p>
    <w:p w14:paraId="5E49D4EA"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Como ha documentado y alertado oficialmente la Procuraduría de la Defensa del Contribuyente</w:t>
      </w:r>
      <w:r w:rsidRPr="00A555A1">
        <w:rPr>
          <w:rFonts w:ascii="Century Gothic" w:eastAsia="Century Gothic" w:hAnsi="Century Gothic" w:cs="Century Gothic"/>
          <w:vertAlign w:val="superscript"/>
        </w:rPr>
        <w:footnoteReference w:id="113"/>
      </w:r>
      <w:r w:rsidRPr="00A555A1">
        <w:rPr>
          <w:rFonts w:ascii="Century Gothic" w:eastAsia="Century Gothic" w:hAnsi="Century Gothic" w:cs="Century Gothic"/>
        </w:rPr>
        <w:t xml:space="preserve"> (en adelante, PRODECON) mediante la activación de protocolos de atención especializados, existe en México una grave problemática estructural de usurpación o suplantación de identidad en materia fiscal. La PRODECON ha detectado y combatido el uso no autorizado de la </w:t>
      </w:r>
      <w:r w:rsidRPr="00A555A1">
        <w:rPr>
          <w:rFonts w:ascii="Century Gothic" w:eastAsia="Century Gothic" w:hAnsi="Century Gothic" w:cs="Century Gothic"/>
          <w:i/>
          <w:iCs/>
        </w:rPr>
        <w:t>e.firma</w:t>
      </w:r>
      <w:r w:rsidRPr="00A555A1">
        <w:rPr>
          <w:rFonts w:ascii="Century Gothic" w:eastAsia="Century Gothic" w:hAnsi="Century Gothic" w:cs="Century Gothic"/>
        </w:rPr>
        <w:t>, la generación de créditos desconocidos, la apertura de cuentas bancarias no reconocidas y la emisión de Comprobantes Fiscales Digitales por Internet (CFDI) para simular operaciones.</w:t>
      </w:r>
    </w:p>
    <w:p w14:paraId="5179F12B"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Para concretar estos ilícitos corporativos, las redes criminales usurpan las identidades de ciudadanos inocentes o inscriben como "prestanombres", socios y representantes legales a personas de escasos recursos y en situación de extrema vulnerabilidad.</w:t>
      </w:r>
    </w:p>
    <w:p w14:paraId="4E25E87F"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Al aplicar este esquema de defraudación fiscal a las excepciones del artículo 10 de los Lineamientos, bastará con que los delincuentes le suplanten la identidad ante el SAT a cualquier ciudadano, exhiban una simple </w:t>
      </w:r>
      <w:r w:rsidRPr="00A555A1">
        <w:rPr>
          <w:rFonts w:ascii="Century Gothic" w:eastAsia="Century Gothic" w:hAnsi="Century Gothic" w:cs="Century Gothic"/>
          <w:i/>
          <w:iCs/>
        </w:rPr>
        <w:t>constancia de situación fiscal</w:t>
      </w:r>
      <w:r w:rsidRPr="00A555A1">
        <w:rPr>
          <w:rFonts w:ascii="Century Gothic" w:eastAsia="Century Gothic" w:hAnsi="Century Gothic" w:cs="Century Gothic"/>
        </w:rPr>
        <w:t xml:space="preserve"> que lo acredite con actividad empresarial, o bien, lo utilicen como prestanombres de una persona moral fachada. Con este engaño, la delincuencia organizada evadirá el límite de diez números y registrará ilícitamente cientos o miles de líneas móviles a nombre de una </w:t>
      </w:r>
      <w:r w:rsidRPr="00A555A1">
        <w:rPr>
          <w:rFonts w:ascii="Century Gothic" w:eastAsia="Century Gothic" w:hAnsi="Century Gothic" w:cs="Century Gothic"/>
        </w:rPr>
        <w:lastRenderedPageBreak/>
        <w:t xml:space="preserve">misma identidad usurpada, lo que les permitirá constituir verdaderos </w:t>
      </w:r>
      <w:r w:rsidRPr="00A555A1">
        <w:rPr>
          <w:rFonts w:ascii="Century Gothic" w:eastAsia="Century Gothic" w:hAnsi="Century Gothic" w:cs="Century Gothic"/>
          <w:i/>
          <w:iCs/>
        </w:rPr>
        <w:t>call centers</w:t>
      </w:r>
      <w:r w:rsidRPr="00A555A1">
        <w:rPr>
          <w:rFonts w:ascii="Century Gothic" w:eastAsia="Century Gothic" w:hAnsi="Century Gothic" w:cs="Century Gothic"/>
        </w:rPr>
        <w:t xml:space="preserve"> dedicados a la extorsión y al fraude telefónico.</w:t>
      </w:r>
    </w:p>
    <w:p w14:paraId="26B4F462" w14:textId="49E43AD7" w:rsidR="006061AF" w:rsidRPr="00A555A1" w:rsidRDefault="006061AF" w:rsidP="006061AF">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La ineficacia de la medida y la vulnerabilidad del sistema se agravan con la modificación al artículo 16 de los Lineamientos (DOF 30/06/2026), el cual ahora permite que las personas morales registren líneas de manera remota. Con esto, la delincuencia organizada no solo podrá evadir el tope de 10 líneas usurpando identidades para crear empresas fachada, sino que ahora ni siquiera tendrán que presentarse físicamente en una sucursal, por lo que el Estado les acaba de abrir la puerta para operar desde la clandestinidad.</w:t>
      </w:r>
    </w:p>
    <w:p w14:paraId="1F551CDE" w14:textId="6C93AFED"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La consecuencia jurídica y material de esta vulnerabilidad es devastadora para la supuesta justificación de seguridad pública, ya que, cuando las autoridades investiguen una extorsión, el registro no arrojará la identidad del verdadero criminal, sino, por el contrario, y como ya lo había advertido la SCJN al resolver </w:t>
      </w:r>
      <w:r w:rsidR="006061AF" w:rsidRPr="00A555A1">
        <w:rPr>
          <w:rFonts w:ascii="Century Gothic" w:eastAsia="Century Gothic" w:hAnsi="Century Gothic" w:cs="Century Gothic"/>
        </w:rPr>
        <w:t>el Caso PANAUT</w:t>
      </w:r>
      <w:r w:rsidRPr="00A555A1">
        <w:rPr>
          <w:rFonts w:ascii="Century Gothic" w:eastAsia="Century Gothic" w:hAnsi="Century Gothic" w:cs="Century Gothic"/>
        </w:rPr>
        <w:t>, tratándose de líneas empresariales, éstas apuntarán únicamente hacia el representante legal.</w:t>
      </w:r>
    </w:p>
    <w:p w14:paraId="1F412420"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De esta manera el registro de líneas incriminará directamente a ciudadanos inocentes cuya identidad fue usurpada (como denuncia la PRODECON) o a personas vulnerables utilizadas como fachada.</w:t>
      </w:r>
    </w:p>
    <w:p w14:paraId="2113B14D"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De esta manera, el artículo 103 de la LMTR y el artículo 10 de los Lineamientos de la CRT no solo fracasan por completo en su objetivo de identificar al delincuente real, sino que el Estado fabricará pruebas preconstituidas contra personas inocentes, por lo que la medida terminará criminalizando a las propias víctimas de robo de identidad, desviando los recursos del sistema de justicia penal hacia falsos culpables y garantizando el anonimato y la impunidad de quienes verdaderamente operan las redes de extorsión.</w:t>
      </w:r>
    </w:p>
    <w:p w14:paraId="0B858A01"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Por otro lado, debe tomarse en cuenta que la característica de obligatoriedad de la “Vinculación”' exigida por el artículo 103 de la LMTR y los Lineamientos de la CRT, representa una interferencia severa en el derecho a la protección de datos personales, en particular a los derechos de oposición y cancelación (derechos ARCO), así como una limitación grave a los principios de licitud, consentimiento, calidad y proporcionalidad.</w:t>
      </w:r>
    </w:p>
    <w:p w14:paraId="1D0BF03A"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Dicha interferencia ocurre ya que, al imponerse coactivamente la recolección de datos de identificación y la sustracción de una “prueba de </w:t>
      </w:r>
      <w:r w:rsidRPr="00A555A1">
        <w:rPr>
          <w:rFonts w:ascii="Century Gothic" w:eastAsia="Century Gothic" w:hAnsi="Century Gothic" w:cs="Century Gothic"/>
        </w:rPr>
        <w:lastRenderedPageBreak/>
        <w:t>vida” biométrica para habilitar el servicio</w:t>
      </w:r>
      <w:r w:rsidRPr="00A555A1">
        <w:rPr>
          <w:rFonts w:ascii="Century Gothic" w:eastAsia="Century Gothic" w:hAnsi="Century Gothic" w:cs="Century Gothic"/>
          <w:b/>
          <w:bCs/>
        </w:rPr>
        <w:t xml:space="preserve">, </w:t>
      </w:r>
      <w:r w:rsidRPr="00A555A1">
        <w:rPr>
          <w:rFonts w:ascii="Century Gothic" w:eastAsia="Century Gothic" w:hAnsi="Century Gothic" w:cs="Century Gothic"/>
        </w:rPr>
        <w:t>se anula de manera absoluta la posibilidad de ejercer el derecho de oposición</w:t>
      </w:r>
      <w:r w:rsidRPr="00A555A1">
        <w:rPr>
          <w:rFonts w:ascii="Century Gothic" w:eastAsia="Century Gothic" w:hAnsi="Century Gothic" w:cs="Century Gothic"/>
          <w:b/>
          <w:bCs/>
        </w:rPr>
        <w:t>.</w:t>
      </w:r>
    </w:p>
    <w:p w14:paraId="6E0BACD2" w14:textId="03F97E88"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Asimismo, se limita gravemente y se vuelve ilusorio el ejercicio del derecho de cancelación, ya que, bajo el esquema de los Lineamientos, este derecho sólo podría ejercerse si la quejosa solicita la “Desvinculación” (Baja), lo cual equivale a la sanción desproporcionada de renunciar a su línea de telefonía móvil y</w:t>
      </w:r>
      <w:r w:rsidR="005106C1" w:rsidRPr="00A555A1">
        <w:rPr>
          <w:rFonts w:ascii="Century Gothic" w:eastAsia="Century Gothic" w:hAnsi="Century Gothic" w:cs="Century Gothic"/>
        </w:rPr>
        <w:t xml:space="preserve"> pluralidad de derechos interdependientes entre sí (acceso a las TIC, expresión, protesta, asociación, inclusión financiera, libertad de trabajo, salud, etc.)</w:t>
      </w:r>
      <w:r w:rsidRPr="00A555A1">
        <w:rPr>
          <w:rFonts w:ascii="Century Gothic" w:eastAsia="Century Gothic" w:hAnsi="Century Gothic" w:cs="Century Gothic"/>
        </w:rPr>
        <w:t xml:space="preserve">. </w:t>
      </w:r>
      <w:r w:rsidR="005106C1" w:rsidRPr="00A555A1">
        <w:rPr>
          <w:rFonts w:ascii="Century Gothic" w:eastAsia="Century Gothic" w:hAnsi="Century Gothic" w:cs="Century Gothic"/>
        </w:rPr>
        <w:t>I</w:t>
      </w:r>
      <w:r w:rsidRPr="00A555A1">
        <w:rPr>
          <w:rFonts w:ascii="Century Gothic" w:eastAsia="Century Gothic" w:hAnsi="Century Gothic" w:cs="Century Gothic"/>
        </w:rPr>
        <w:t>nclusive, frente a este escenario de desconexión, la cancelación del dato resulta ficticia, por un lado, el artículo 33, fracción V, de los Lineamientos obliga expresamente a las plataformas a “</w:t>
      </w:r>
      <w:r w:rsidRPr="00A555A1">
        <w:rPr>
          <w:rFonts w:ascii="Century Gothic" w:eastAsia="Century Gothic" w:hAnsi="Century Gothic" w:cs="Century Gothic"/>
          <w:i/>
          <w:iCs/>
        </w:rPr>
        <w:t>conservar el historial de los resultados de las Validaciones de Identidad”</w:t>
      </w:r>
      <w:r w:rsidRPr="00A555A1">
        <w:rPr>
          <w:rFonts w:ascii="Century Gothic" w:eastAsia="Century Gothic" w:hAnsi="Century Gothic" w:cs="Century Gothic"/>
        </w:rPr>
        <w:t xml:space="preserve">; y por el otro, al someterse la biometría obtenida al entrenamiento de </w:t>
      </w:r>
      <w:r w:rsidR="005106C1" w:rsidRPr="00A555A1">
        <w:rPr>
          <w:rFonts w:ascii="Century Gothic" w:eastAsia="Century Gothic" w:hAnsi="Century Gothic" w:cs="Century Gothic"/>
        </w:rPr>
        <w:t>herramientas tecnológicas (automatización de datos y/o Inteligencia Artificial)</w:t>
      </w:r>
      <w:r w:rsidRPr="00A555A1">
        <w:rPr>
          <w:rFonts w:ascii="Century Gothic" w:eastAsia="Century Gothic" w:hAnsi="Century Gothic" w:cs="Century Gothic"/>
        </w:rPr>
        <w:t xml:space="preserve"> de corporativos privados (como lo confiesa la concesionaria responsable en su Aviso de Privacidad), los patrones faciales quedan asimilados de forma irreversible en las redes neuronales, haciendo materialmente imposible la verdadera destrucción, cancelación o restitución del dato personal sensible a favor de su titular.</w:t>
      </w:r>
    </w:p>
    <w:p w14:paraId="50F1E6A1" w14:textId="7B2AEE9B"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 Por otra parte, como fue establecido por </w:t>
      </w:r>
      <w:r w:rsidR="005106C1" w:rsidRPr="00A555A1">
        <w:rPr>
          <w:rFonts w:ascii="Century Gothic" w:eastAsia="Century Gothic" w:hAnsi="Century Gothic" w:cs="Century Gothic"/>
        </w:rPr>
        <w:t>la SCJN</w:t>
      </w:r>
      <w:r w:rsidRPr="00A555A1">
        <w:rPr>
          <w:rFonts w:ascii="Century Gothic" w:eastAsia="Century Gothic" w:hAnsi="Century Gothic" w:cs="Century Gothic"/>
        </w:rPr>
        <w:t xml:space="preserve"> al resolver </w:t>
      </w:r>
      <w:r w:rsidR="00FB6CD4" w:rsidRPr="00A555A1">
        <w:rPr>
          <w:rFonts w:ascii="Century Gothic" w:eastAsia="Century Gothic" w:hAnsi="Century Gothic" w:cs="Century Gothic"/>
        </w:rPr>
        <w:t>el Caso PANAUT</w:t>
      </w:r>
      <w:r w:rsidRPr="00A555A1">
        <w:rPr>
          <w:rFonts w:ascii="Century Gothic" w:eastAsia="Century Gothic" w:hAnsi="Century Gothic" w:cs="Century Gothic"/>
        </w:rPr>
        <w:t xml:space="preserve"> y al desarrollar el marco jurídico de protección al derecho a la privacidad y los datos personales, es fundamental para el análisis de proporcionalidad examinar si existen salvaguardas adecuadas para evitar el abuso de medidas invasivas, en particular cuando el Estado las lleva a cabo de manera encubierta u opaca a través de corporativos privados. </w:t>
      </w:r>
    </w:p>
    <w:p w14:paraId="6B298F85"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En este sentido, debe destacarse que el artículo 182 de la LMTR, en correlación con el artículo 103 del mismo ordenamiento y los actuales Lineamientos de la CRT, disponen que los concesionarios están obligados a atender todo mandamiento de "autoridades competentes", permitiendo el acceso a la información contenida en las Plataformas de Gestión de Líneas Telefónicas Móviles sin establecer salvaguardas adecuadas y suficientes para prevenir el abuso de este acceso. En primer lugar, el nuevo sistema normativo adolece del mismo vicio de inconstitucionalidad que su predecesor, pues </w:t>
      </w:r>
      <w:r w:rsidRPr="00A555A1">
        <w:rPr>
          <w:rFonts w:ascii="Century Gothic" w:eastAsia="Century Gothic" w:hAnsi="Century Gothic" w:cs="Century Gothic"/>
          <w:b/>
          <w:bCs/>
        </w:rPr>
        <w:t>las normas combatidas no establecen límite alguno respecto de los casos, circunstancias, delitos, procedimientos, categorías de datos o el volumen de información al que dichas autoridades podrán tener acceso</w:t>
      </w:r>
      <w:r w:rsidRPr="00A555A1">
        <w:rPr>
          <w:rFonts w:ascii="Century Gothic" w:eastAsia="Century Gothic" w:hAnsi="Century Gothic" w:cs="Century Gothic"/>
        </w:rPr>
        <w:t>.</w:t>
      </w:r>
    </w:p>
    <w:p w14:paraId="3473C3C6"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b/>
          <w:bCs/>
        </w:rPr>
        <w:lastRenderedPageBreak/>
        <w:t>Esto resulta totalmente contrario a lo que sí sucede con la LGN y el CNPP</w:t>
      </w:r>
      <w:r w:rsidRPr="00A555A1">
        <w:rPr>
          <w:rFonts w:ascii="Century Gothic" w:eastAsia="Century Gothic" w:hAnsi="Century Gothic" w:cs="Century Gothic"/>
        </w:rPr>
        <w:t>, como ya fue señalado en la tercera grada del test de proporcionalidad, toda vez que dichos ordenamientos acotan el uso de técnicas de investigación (como la geolocalización o intervención de comunicaciones) a delitos graves específicos, exigen la individualización de las personas o equipos a investigar, imponen límites temporales y requieren siempre de una causa fundada y motivada que justifique la medida</w:t>
      </w:r>
    </w:p>
    <w:p w14:paraId="582A507B"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Agravando lo anterior e ignorando los estándares procesales y constitucionales referidos, </w:t>
      </w:r>
      <w:r w:rsidRPr="00A555A1">
        <w:rPr>
          <w:rFonts w:ascii="Century Gothic" w:eastAsia="Century Gothic" w:hAnsi="Century Gothic" w:cs="Century Gothic"/>
          <w:b/>
          <w:bCs/>
        </w:rPr>
        <w:t>no se establece en la ley LMTR, los Lineamientos, ni en la regulación administrativa ningún mecanismo de control judicial previo o inmediato</w:t>
      </w:r>
      <w:r w:rsidRPr="00A555A1">
        <w:rPr>
          <w:rFonts w:ascii="Century Gothic" w:eastAsia="Century Gothic" w:hAnsi="Century Gothic" w:cs="Century Gothic"/>
        </w:rPr>
        <w:t>, ninguna medida de transparencia, de supervisión independiente, ni de notificación a las personas afectadas por los accesos a estas Plataformas de Registro de parte de las autoridades. De esta manera, las personas respecto de las cuales la autoridad (o los terceros que proveen Inteligencia Artificial) tenga acceso a sus datos personales —incluyendo sus datos biométricos sensibles y “pruebas de vida”— quedan en la indefensión absoluta, pues no tendrán conocimiento de que su esfera de derechos ha sido invadida y, por ende, no podrán incoar los mecanismos jurídicos correspondientes para resistir injerencias arbitrarias o ilegales</w:t>
      </w:r>
    </w:p>
    <w:p w14:paraId="6A5E5872"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En las normas combatidas tampoco se define si las autoridades podrán tener acceso libre y en masa a todos los datos contenidos en la base de datos o si tendrán que realizar requerimientos específicos y focalizados a determinadas líneas respecto de las cuales exista algún indicio de haber participado en la organización o comisión de hechos delictivos.</w:t>
      </w:r>
    </w:p>
    <w:p w14:paraId="4073FE7B"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Asimismo, los riesgos asociados a la posibilidad de que autoridades aprovechen el acceso dichos Registros para fines distintos y contrarios a la protección de la seguridad pública, además de ser altamente probables derivado de la ausencia de salvaguardas, son todavía más graves, dado el contexto de colusión frecuente entre autoridades de seguridad, procuración y administración de justicia y la delincuencia organizada, la cual se encuentra ampliamente documentada. Por ejemplo, la CIDH ha constatado que un “</w:t>
      </w:r>
      <w:r w:rsidRPr="00A555A1">
        <w:rPr>
          <w:rFonts w:ascii="Century Gothic" w:eastAsia="Century Gothic" w:hAnsi="Century Gothic" w:cs="Century Gothic"/>
          <w:i/>
          <w:iCs/>
        </w:rPr>
        <w:t xml:space="preserve">aspecto estructural que permea muchas instituciones de </w:t>
      </w:r>
      <w:r w:rsidRPr="00A555A1">
        <w:rPr>
          <w:rFonts w:ascii="Century Gothic" w:eastAsia="Century Gothic" w:hAnsi="Century Gothic" w:cs="Century Gothic"/>
          <w:i/>
          <w:iCs/>
        </w:rPr>
        <w:lastRenderedPageBreak/>
        <w:t>justicia en México [...] es la corrupción, así como la protección, colusión e infiltración de la delincuencia organizada en diferentes dependencias.”</w:t>
      </w:r>
      <w:r w:rsidRPr="00A555A1">
        <w:rPr>
          <w:rFonts w:ascii="Century Gothic" w:eastAsia="Century Gothic" w:hAnsi="Century Gothic" w:cs="Century Gothic"/>
          <w:vertAlign w:val="superscript"/>
        </w:rPr>
        <w:footnoteReference w:id="114"/>
      </w:r>
    </w:p>
    <w:p w14:paraId="3CF69232"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Por ejemplo, el caso emblemático de adquisición y uso del malware de espionaje Pegasus, utilizado en contra de personas defensoras de derechos humanos, periodistas y activistas en México</w:t>
      </w:r>
      <w:r w:rsidRPr="00A555A1">
        <w:rPr>
          <w:rFonts w:ascii="Century Gothic" w:eastAsia="Century Gothic" w:hAnsi="Century Gothic" w:cs="Century Gothic"/>
          <w:vertAlign w:val="superscript"/>
        </w:rPr>
        <w:footnoteReference w:id="115"/>
      </w:r>
      <w:r w:rsidRPr="00A555A1">
        <w:rPr>
          <w:rFonts w:ascii="Century Gothic" w:eastAsia="Century Gothic" w:hAnsi="Century Gothic" w:cs="Century Gothic"/>
        </w:rPr>
        <w:t>, respecto del cual diversos organismos internacionales de derechos humanos han manifestado preocupación y han realizado recomendaciones y respecto del cual el extinto INAI determinó, al resolver el procedimiento de verificación identificado con la clave INAI.3S.07.01-007/2018</w:t>
      </w:r>
      <w:r w:rsidRPr="00A555A1">
        <w:rPr>
          <w:rFonts w:ascii="Century Gothic" w:eastAsia="Century Gothic" w:hAnsi="Century Gothic" w:cs="Century Gothic"/>
          <w:vertAlign w:val="superscript"/>
        </w:rPr>
        <w:footnoteReference w:id="116"/>
      </w:r>
      <w:r w:rsidRPr="00A555A1">
        <w:rPr>
          <w:rFonts w:ascii="Century Gothic" w:eastAsia="Century Gothic" w:hAnsi="Century Gothic" w:cs="Century Gothic"/>
        </w:rPr>
        <w:t>, que la Procuraduría General de la República (PGR) violó la LGPDPSO abrogada con el uso de Pegasus, al no cumplir con los deberes de seguridad y el principio de responsabilidad.</w:t>
      </w:r>
    </w:p>
    <w:p w14:paraId="5A535603"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De igual manera se han documentado otras irregularidades en la adquisición y uso de herramientas y facultades de vigilancia por parte de autoridades de seguridad y procuración de justicia en México, como el despliegue de estas facultades por autoridades incompetentes, el uso ilegal y sin cumplir con el requisito de control judicial que el artículo 16 de la CPEUM y las leyes exigen, e incluso la adquisición y uso de tecnologías de vigilancia masiva como “las antenas falsas” de telefonía</w:t>
      </w:r>
      <w:r w:rsidRPr="00A555A1">
        <w:rPr>
          <w:rFonts w:ascii="Century Gothic" w:eastAsia="Century Gothic" w:hAnsi="Century Gothic" w:cs="Century Gothic"/>
          <w:vertAlign w:val="superscript"/>
        </w:rPr>
        <w:footnoteReference w:id="117"/>
      </w:r>
      <w:r w:rsidRPr="00A555A1">
        <w:rPr>
          <w:rFonts w:ascii="Century Gothic" w:eastAsia="Century Gothic" w:hAnsi="Century Gothic" w:cs="Century Gothic"/>
        </w:rPr>
        <w:t xml:space="preserve"> y sistemas que permiten </w:t>
      </w:r>
      <w:r w:rsidRPr="00A555A1">
        <w:rPr>
          <w:rFonts w:ascii="Century Gothic" w:eastAsia="Century Gothic" w:hAnsi="Century Gothic" w:cs="Century Gothic"/>
          <w:i/>
          <w:iCs/>
        </w:rPr>
        <w:t>“recopilación en masa de (datos de) todos los usuarios de Internet en un país.”</w:t>
      </w:r>
      <w:r w:rsidRPr="00A555A1">
        <w:rPr>
          <w:rFonts w:ascii="Century Gothic" w:eastAsia="Century Gothic" w:hAnsi="Century Gothic" w:cs="Century Gothic"/>
          <w:vertAlign w:val="superscript"/>
        </w:rPr>
        <w:footnoteReference w:id="118"/>
      </w:r>
    </w:p>
    <w:p w14:paraId="4A17A6BA"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En particular, debe considerarse que el acceso a la base de datos de los Registros Telefónicos en conjunto con el despliegue de tecnologías de vigilancia masiva como las “antenas falsas” de telefonía o de sistemas de geolocalización masiva, que como se ha referido en el párrafo anterior se encuentran siendo desplegados por autoridades en México, </w:t>
      </w:r>
      <w:r w:rsidRPr="00A555A1">
        <w:rPr>
          <w:rFonts w:ascii="Century Gothic" w:eastAsia="Century Gothic" w:hAnsi="Century Gothic" w:cs="Century Gothic"/>
        </w:rPr>
        <w:lastRenderedPageBreak/>
        <w:t>potencian aún más los riesgos de vigilancia autoritaria en contra de la población.</w:t>
      </w:r>
    </w:p>
    <w:p w14:paraId="08640E28"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A la luz de todas las consideraciones vertidas en los párrafos precedentes, resulta claro que las normas combatidas implican una interferencia en el derecho a la privacidad y protección de datos personales que constituyen afectaciones de grave intensidad y que incluso anulan por completo el ejercicio de algunos derechos. </w:t>
      </w:r>
    </w:p>
    <w:p w14:paraId="017FCD2E"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Lo anterior, aunado a la ausencia absoluta o significativa de contribución al fin perseguido por las medidas contempladas en las normas combatidas, derivada de la ausencia de evidencia de que requisitos de identidad para la adquisición y uso de tarjetas SIM o eSIM contribuyan a la reducción de índices delictivos, la imposibilidad de presumir que la persona registrada en el PANAUT es la responsable de una comunicación y dado que existen múltiples maneras en las que este puede eludirse, como fue desarrollado en la etapa de idoneidad, implica con claridad que los costos para los derechos a la privacidad y la protección de datos personales resultan ser contundentemente mayores que los ausentes o ínfimos beneficios para la seguridad pública que ofrecen las normas combatidas.</w:t>
      </w:r>
    </w:p>
    <w:p w14:paraId="1EEF1D7A" w14:textId="44FF1574"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Por lo antes expuesto, y en estricta aplicación de la </w:t>
      </w:r>
      <w:r w:rsidRPr="00A555A1">
        <w:rPr>
          <w:rFonts w:ascii="Century Gothic" w:eastAsia="Century Gothic" w:hAnsi="Century Gothic" w:cs="Century Gothic"/>
          <w:i/>
          <w:iCs/>
        </w:rPr>
        <w:t>ratio decidendi</w:t>
      </w:r>
      <w:r w:rsidRPr="00A555A1">
        <w:rPr>
          <w:rFonts w:ascii="Century Gothic" w:eastAsia="Century Gothic" w:hAnsi="Century Gothic" w:cs="Century Gothic"/>
        </w:rPr>
        <w:t xml:space="preserve"> sostenida por el Tribunal Pleno de la SCJN al resolver </w:t>
      </w:r>
      <w:r w:rsidR="001D5DC9" w:rsidRPr="00A555A1">
        <w:rPr>
          <w:rFonts w:ascii="Century Gothic" w:eastAsia="Century Gothic" w:hAnsi="Century Gothic" w:cs="Century Gothic"/>
        </w:rPr>
        <w:t>el Caso PANAUT</w:t>
      </w:r>
      <w:r w:rsidRPr="00A555A1">
        <w:rPr>
          <w:rFonts w:ascii="Century Gothic" w:eastAsia="Century Gothic" w:hAnsi="Century Gothic" w:cs="Century Gothic"/>
          <w:b/>
          <w:bCs/>
        </w:rPr>
        <w:t xml:space="preserve"> </w:t>
      </w:r>
      <w:r w:rsidRPr="00A555A1">
        <w:rPr>
          <w:rFonts w:ascii="Century Gothic" w:eastAsia="Century Gothic" w:hAnsi="Century Gothic" w:cs="Century Gothic"/>
        </w:rPr>
        <w:t xml:space="preserve">(de aplicación obligatoria), es claro que el artículo 103 y 182 de la LMTR, así como los Lineamientos de la CRT, constituyen interferencias que incumplen frontalmente el test de proporcionalidad respecto de los derechos a la privacidad, intimidad y protección de datos personales, </w:t>
      </w:r>
      <w:r w:rsidR="005106C1" w:rsidRPr="00A555A1">
        <w:rPr>
          <w:rFonts w:ascii="Century Gothic" w:eastAsia="Century Gothic" w:hAnsi="Century Gothic" w:cs="Century Gothic"/>
        </w:rPr>
        <w:t xml:space="preserve">así como al principio de autodeterminación informativa, </w:t>
      </w:r>
      <w:r w:rsidRPr="00A555A1">
        <w:rPr>
          <w:rFonts w:ascii="Century Gothic" w:eastAsia="Century Gothic" w:hAnsi="Century Gothic" w:cs="Century Gothic"/>
        </w:rPr>
        <w:t>por lo que resultan ser inconstitucionales.</w:t>
      </w:r>
    </w:p>
    <w:p w14:paraId="564A9AE6"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En conclusión, del presente apartado y dadas las múltiples violaciones demostradas, se reitera para mayor claridad que el sistema normativo combatido constituye una injerencia arbitraria y desproporcionada que resulta inconstitucional en virtud de que:</w:t>
      </w:r>
    </w:p>
    <w:p w14:paraId="07255D23" w14:textId="77777777" w:rsidR="00001DF2" w:rsidRPr="00A555A1" w:rsidRDefault="00000000">
      <w:pPr>
        <w:numPr>
          <w:ilvl w:val="0"/>
          <w:numId w:val="3"/>
        </w:numPr>
        <w:spacing w:line="360" w:lineRule="auto"/>
        <w:ind w:left="0" w:firstLine="1418"/>
        <w:jc w:val="both"/>
        <w:rPr>
          <w:rFonts w:ascii="Century Gothic" w:eastAsia="Century Gothic" w:hAnsi="Century Gothic" w:cs="Century Gothic"/>
        </w:rPr>
      </w:pPr>
      <w:r w:rsidRPr="00A555A1">
        <w:rPr>
          <w:rFonts w:ascii="Century Gothic" w:eastAsia="Century Gothic" w:hAnsi="Century Gothic" w:cs="Century Gothic"/>
          <w:b/>
          <w:bCs/>
        </w:rPr>
        <w:t>Incumple el requisito de legalidad</w:t>
      </w:r>
      <w:r w:rsidRPr="00A555A1">
        <w:rPr>
          <w:rFonts w:ascii="Century Gothic" w:eastAsia="Century Gothic" w:hAnsi="Century Gothic" w:cs="Century Gothic"/>
        </w:rPr>
        <w:t xml:space="preserve"> al haberse omitido la realización de un EIP frente al tratamiento intensivo y masivo de datos que la medida exige, contraviniendo las mejores prácticas y el estándar fijado por la legislación de la materia.</w:t>
      </w:r>
    </w:p>
    <w:p w14:paraId="3F72AEFA" w14:textId="77777777" w:rsidR="00001DF2" w:rsidRPr="00A555A1" w:rsidRDefault="00000000">
      <w:pPr>
        <w:numPr>
          <w:ilvl w:val="0"/>
          <w:numId w:val="3"/>
        </w:numPr>
        <w:spacing w:line="360" w:lineRule="auto"/>
        <w:ind w:left="0" w:firstLine="1418"/>
        <w:jc w:val="both"/>
        <w:rPr>
          <w:rFonts w:ascii="Century Gothic" w:eastAsia="Century Gothic" w:hAnsi="Century Gothic" w:cs="Century Gothic"/>
        </w:rPr>
      </w:pPr>
      <w:r w:rsidRPr="00A555A1">
        <w:rPr>
          <w:rFonts w:ascii="Century Gothic" w:eastAsia="Century Gothic" w:hAnsi="Century Gothic" w:cs="Century Gothic"/>
          <w:b/>
          <w:bCs/>
        </w:rPr>
        <w:lastRenderedPageBreak/>
        <w:t>Viola el principio de legalidad, de reserva de ley y subordinación jerárquica</w:t>
      </w:r>
      <w:r w:rsidRPr="00A555A1">
        <w:rPr>
          <w:rFonts w:ascii="Century Gothic" w:eastAsia="Century Gothic" w:hAnsi="Century Gothic" w:cs="Century Gothic"/>
        </w:rPr>
        <w:t xml:space="preserve"> al delegarse inconstitucionalmente en una autoridad administrativa (la CRT) la definición de aspectos sustantivos e invasivos, tales como la imposición de una "prueba de vida" biométrica, la fijación arbitraria de límites en el número de líneas y un tratamiento normativo diferenciado por la justa mundialista, sin que esto se encuentre pormenorizado en la ley.</w:t>
      </w:r>
    </w:p>
    <w:p w14:paraId="2DAF8D8E" w14:textId="0945C274" w:rsidR="00001DF2" w:rsidRPr="00A555A1" w:rsidRDefault="00000000">
      <w:pPr>
        <w:numPr>
          <w:ilvl w:val="0"/>
          <w:numId w:val="3"/>
        </w:numPr>
        <w:spacing w:line="360" w:lineRule="auto"/>
        <w:ind w:left="0" w:firstLine="1418"/>
        <w:jc w:val="both"/>
        <w:rPr>
          <w:rFonts w:ascii="Century Gothic" w:eastAsia="Century Gothic" w:hAnsi="Century Gothic" w:cs="Century Gothic"/>
        </w:rPr>
      </w:pPr>
      <w:r w:rsidRPr="00A555A1">
        <w:rPr>
          <w:rFonts w:ascii="Century Gothic" w:eastAsia="Century Gothic" w:hAnsi="Century Gothic" w:cs="Century Gothic"/>
          <w:b/>
          <w:bCs/>
        </w:rPr>
        <w:t>Incumple el requisito de idoneidad</w:t>
      </w:r>
      <w:r w:rsidRPr="00A555A1">
        <w:rPr>
          <w:rFonts w:ascii="Century Gothic" w:eastAsia="Century Gothic" w:hAnsi="Century Gothic" w:cs="Century Gothic"/>
        </w:rPr>
        <w:t xml:space="preserve"> al no contribuir a la seguridad pública, dada la evidencia fáctica de que la delincuencia elude fácilmente el registro a través del imparable mercado negro de "chips" pre-registrados, lagunas legales (como la exención al </w:t>
      </w:r>
      <w:r w:rsidRPr="00A555A1">
        <w:rPr>
          <w:rFonts w:ascii="Century Gothic" w:eastAsia="Century Gothic" w:hAnsi="Century Gothic" w:cs="Century Gothic"/>
          <w:i/>
          <w:iCs/>
        </w:rPr>
        <w:t>Roaming</w:t>
      </w:r>
      <w:r w:rsidRPr="00A555A1">
        <w:rPr>
          <w:rFonts w:ascii="Century Gothic" w:eastAsia="Century Gothic" w:hAnsi="Century Gothic" w:cs="Century Gothic"/>
        </w:rPr>
        <w:t xml:space="preserve"> Internacional) y la imposibilidad de presumir que la persona empadronada es quien materialmente cometió el delito. Esta falta de idoneidad se agrava mediante </w:t>
      </w:r>
      <w:r w:rsidR="00383FAE" w:rsidRPr="00A555A1">
        <w:rPr>
          <w:rFonts w:ascii="Century Gothic" w:eastAsia="Century Gothic" w:hAnsi="Century Gothic" w:cs="Century Gothic"/>
        </w:rPr>
        <w:t>los artículos 10 y 16</w:t>
      </w:r>
      <w:r w:rsidRPr="00A555A1">
        <w:rPr>
          <w:rFonts w:ascii="Century Gothic" w:eastAsia="Century Gothic" w:hAnsi="Century Gothic" w:cs="Century Gothic"/>
        </w:rPr>
        <w:t xml:space="preserve"> de los Lineamientos, el cual abre la puerta para que el crimen organizado utilice empresas fantasmas y el robo de identidad (alertado y documentado por la PRODECON) para registrar líneas masivas, criminalizando así a ciudadanos inocentes y al representante legal, pero garantizando el anonimato del verdadero extorsionador.</w:t>
      </w:r>
    </w:p>
    <w:p w14:paraId="42D6472B" w14:textId="77777777" w:rsidR="00001DF2" w:rsidRPr="00A555A1" w:rsidRDefault="00000000">
      <w:pPr>
        <w:numPr>
          <w:ilvl w:val="0"/>
          <w:numId w:val="3"/>
        </w:numPr>
        <w:spacing w:line="360" w:lineRule="auto"/>
        <w:ind w:left="0" w:firstLine="1418"/>
        <w:jc w:val="both"/>
        <w:rPr>
          <w:rFonts w:ascii="Century Gothic" w:eastAsia="Century Gothic" w:hAnsi="Century Gothic" w:cs="Century Gothic"/>
        </w:rPr>
      </w:pPr>
      <w:r w:rsidRPr="00A555A1">
        <w:rPr>
          <w:rFonts w:ascii="Century Gothic" w:eastAsia="Century Gothic" w:hAnsi="Century Gothic" w:cs="Century Gothic"/>
          <w:b/>
          <w:bCs/>
        </w:rPr>
        <w:t>Incumple el requisito de necesidad</w:t>
      </w:r>
      <w:r w:rsidRPr="00A555A1">
        <w:rPr>
          <w:rFonts w:ascii="Century Gothic" w:eastAsia="Century Gothic" w:hAnsi="Century Gothic" w:cs="Century Gothic"/>
        </w:rPr>
        <w:t xml:space="preserve"> al preexistir en la legislación procesal (el CNPP y la LGN) medidas alternativas considerablemente más idóneas —como la intervención de comunicaciones privadas, la geolocalización y la entrega de datos conservados—, las cuales afectan en menor medida la privacidad por no ser masivas ni generalizadas, ser temporales y, a diferencia del sistema combatido, estar sujetas a un estricto control judicial previo. Incluso, la propia autoridad evidenció la falta de necesidad de la biometría al publicitar oficialmente que para el registro "solo necesitas tu credencial vigente".</w:t>
      </w:r>
    </w:p>
    <w:p w14:paraId="31751A82" w14:textId="24D75A77" w:rsidR="00001DF2" w:rsidRPr="00A555A1" w:rsidRDefault="00000000">
      <w:pPr>
        <w:numPr>
          <w:ilvl w:val="0"/>
          <w:numId w:val="3"/>
        </w:numPr>
        <w:spacing w:line="360" w:lineRule="auto"/>
        <w:ind w:left="0" w:firstLine="1418"/>
        <w:jc w:val="both"/>
        <w:rPr>
          <w:rFonts w:ascii="Century Gothic" w:eastAsia="Century Gothic" w:hAnsi="Century Gothic" w:cs="Century Gothic"/>
        </w:rPr>
      </w:pPr>
      <w:r w:rsidRPr="00A555A1">
        <w:rPr>
          <w:rFonts w:ascii="Century Gothic" w:eastAsia="Century Gothic" w:hAnsi="Century Gothic" w:cs="Century Gothic"/>
          <w:b/>
          <w:bCs/>
        </w:rPr>
        <w:t>Incumple el requisito de proporcionalidad en sentido estricto</w:t>
      </w:r>
      <w:r w:rsidRPr="00A555A1">
        <w:rPr>
          <w:rFonts w:ascii="Century Gothic" w:eastAsia="Century Gothic" w:hAnsi="Century Gothic" w:cs="Century Gothic"/>
        </w:rPr>
        <w:t xml:space="preserve">, en tanto constituye una interferencia masiva, severa y potencialmente irreversible en la intimidad y protección de datos, permitiendo la extracción de "pruebas de vida" para el entrenamiento opaco de </w:t>
      </w:r>
      <w:r w:rsidR="00383FAE" w:rsidRPr="00A555A1">
        <w:rPr>
          <w:rFonts w:ascii="Century Gothic" w:eastAsia="Century Gothic" w:hAnsi="Century Gothic" w:cs="Century Gothic"/>
        </w:rPr>
        <w:t xml:space="preserve">herramientas tecnológicas, como </w:t>
      </w:r>
      <w:r w:rsidRPr="00A555A1">
        <w:rPr>
          <w:rFonts w:ascii="Century Gothic" w:eastAsia="Century Gothic" w:hAnsi="Century Gothic" w:cs="Century Gothic"/>
        </w:rPr>
        <w:t xml:space="preserve">modelos de Inteligencia Artificial </w:t>
      </w:r>
      <w:r w:rsidR="00383FAE" w:rsidRPr="00A555A1">
        <w:rPr>
          <w:rFonts w:ascii="Century Gothic" w:eastAsia="Century Gothic" w:hAnsi="Century Gothic" w:cs="Century Gothic"/>
        </w:rPr>
        <w:t xml:space="preserve">o tratamientos de datos automatizados, </w:t>
      </w:r>
      <w:r w:rsidRPr="00A555A1">
        <w:rPr>
          <w:rFonts w:ascii="Century Gothic" w:eastAsia="Century Gothic" w:hAnsi="Century Gothic" w:cs="Century Gothic"/>
        </w:rPr>
        <w:t xml:space="preserve">sin el consentimiento libre de los usuarios. Estos gravísimos costos —que incluyen el destierro de la ciudadana del espacio público digital inhibiendo su libertad de expresión, así como la vulneración a la interdependencia de sus derechos a la salud, inclusión </w:t>
      </w:r>
      <w:r w:rsidRPr="00A555A1">
        <w:rPr>
          <w:rFonts w:ascii="Century Gothic" w:eastAsia="Century Gothic" w:hAnsi="Century Gothic" w:cs="Century Gothic"/>
        </w:rPr>
        <w:lastRenderedPageBreak/>
        <w:t>financiera y su obligación fiscal frente al Buzón Tributario— no encuentran justificación frente a los ínfimos beneficios de seguridad pública; sobre todo, cuando se ha demostrado que la pura voluntad política y la inteligencia policial han sido suficientes para detener a cientos de extorsionadores</w:t>
      </w:r>
      <w:r w:rsidR="00383FAE" w:rsidRPr="00A555A1">
        <w:rPr>
          <w:rFonts w:ascii="Century Gothic" w:eastAsia="Century Gothic" w:hAnsi="Century Gothic" w:cs="Century Gothic"/>
          <w:sz w:val="20"/>
          <w:szCs w:val="20"/>
          <w:vertAlign w:val="superscript"/>
        </w:rPr>
        <w:footnoteReference w:id="119"/>
      </w:r>
      <w:r w:rsidRPr="00A555A1">
        <w:rPr>
          <w:rFonts w:ascii="Century Gothic" w:eastAsia="Century Gothic" w:hAnsi="Century Gothic" w:cs="Century Gothic"/>
        </w:rPr>
        <w:t xml:space="preserve"> sin requerir la biometría de millones de mexicanos</w:t>
      </w:r>
      <w:r w:rsidR="00383FAE" w:rsidRPr="00A555A1">
        <w:rPr>
          <w:rFonts w:ascii="Century Gothic" w:eastAsia="Century Gothic" w:hAnsi="Century Gothic" w:cs="Century Gothic"/>
        </w:rPr>
        <w:t xml:space="preserve"> y/o residentes</w:t>
      </w:r>
      <w:r w:rsidRPr="00A555A1">
        <w:rPr>
          <w:rFonts w:ascii="Century Gothic" w:eastAsia="Century Gothic" w:hAnsi="Century Gothic" w:cs="Century Gothic"/>
        </w:rPr>
        <w:t xml:space="preserve"> libres.</w:t>
      </w:r>
    </w:p>
    <w:p w14:paraId="7486B78D" w14:textId="32DCA00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En vista de lo anterior, debe concluirse de forma incontrovertible que las normas combatidas resultan violatorias de los artículos 1º, 6º, 7º, 14, 16 y 31, fracción IV de la Constitución Política de los Estados Unidos Mexicanos, 11 de la CADH y 17 del Pacto Internacional de Derechos Civiles y Políticos PIDCP, por lo que es dable y procedente otorgar el </w:t>
      </w:r>
      <w:r w:rsidR="004F3C91" w:rsidRPr="00A555A1">
        <w:rPr>
          <w:rFonts w:ascii="Century Gothic" w:eastAsia="Century Gothic" w:hAnsi="Century Gothic" w:cs="Century Gothic"/>
        </w:rPr>
        <w:t>amparo</w:t>
      </w:r>
      <w:r w:rsidRPr="00A555A1">
        <w:rPr>
          <w:rFonts w:ascii="Century Gothic" w:eastAsia="Century Gothic" w:hAnsi="Century Gothic" w:cs="Century Gothic"/>
        </w:rPr>
        <w:t xml:space="preserve"> de la Justicia Federal a favor de la parte quejosa.</w:t>
      </w:r>
    </w:p>
    <w:p w14:paraId="6F3CA39E" w14:textId="77777777" w:rsidR="00001DF2" w:rsidRPr="00A555A1" w:rsidRDefault="00001DF2">
      <w:pPr>
        <w:spacing w:line="360" w:lineRule="auto"/>
        <w:jc w:val="both"/>
        <w:rPr>
          <w:rFonts w:ascii="Century Gothic" w:eastAsia="Century Gothic" w:hAnsi="Century Gothic" w:cs="Century Gothic"/>
        </w:rPr>
      </w:pPr>
    </w:p>
    <w:p w14:paraId="045DC6EF" w14:textId="77777777" w:rsidR="00001DF2" w:rsidRPr="00A555A1" w:rsidRDefault="00000000">
      <w:pPr>
        <w:spacing w:line="360" w:lineRule="auto"/>
        <w:jc w:val="both"/>
        <w:rPr>
          <w:rFonts w:ascii="Century Gothic" w:eastAsia="Century Gothic" w:hAnsi="Century Gothic" w:cs="Century Gothic"/>
          <w:b/>
          <w:bCs/>
        </w:rPr>
      </w:pPr>
      <w:r w:rsidRPr="00A555A1">
        <w:rPr>
          <w:rFonts w:ascii="Century Gothic" w:eastAsia="Century Gothic" w:hAnsi="Century Gothic" w:cs="Century Gothic"/>
          <w:b/>
          <w:bCs/>
        </w:rPr>
        <w:t>SEGUNDO.- LA VINCULACIÓN OBLIGATORIA DE LÍNEAS TELEFÓNICAS COMO CONDICIÓN PARA EJERCER EL DERECHO DE ACCESO A LAS TIC, AL NO SER UNA MEDIDA IDÓNEA, NECESARIA O PROPORCIONAL, VIOLA LOS ARTÍCULOS 1o, 6o, 7o, 14 Y 16 DE LA CPEUM, 1.1, 13 Y 24 DE LA CADH, 2, 19 Y 26 DEL PIDCP.</w:t>
      </w:r>
    </w:p>
    <w:p w14:paraId="1CA56CE8" w14:textId="5A209A4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El sistema normativo que contiene las disposiciones combatidas condiciona el acceso al servicio de telefonía móvil a la aceptación coactiva del tratamiento de datos personales, incluyendo datos personales sensibles (biométricos). Lo anterior, al establecer en el </w:t>
      </w:r>
      <w:r w:rsidRPr="00A555A1">
        <w:rPr>
          <w:rFonts w:ascii="Century Gothic" w:eastAsia="Century Gothic" w:hAnsi="Century Gothic" w:cs="Century Gothic"/>
          <w:b/>
          <w:bCs/>
        </w:rPr>
        <w:t>artículo 103 de la nueva LMTR</w:t>
      </w:r>
      <w:r w:rsidRPr="00A555A1">
        <w:rPr>
          <w:rFonts w:ascii="Century Gothic" w:eastAsia="Century Gothic" w:hAnsi="Century Gothic" w:cs="Century Gothic"/>
        </w:rPr>
        <w:t xml:space="preserve"> que los concesionarios únicamente podrán activar y mantener activo el servicio de aquellas líneas que estén asociadas a usuarios finales que hayan presentado una identificación oficial con CURP, "conforme a los lineamientos que para tal efecto emita la Comisión". Inclusive, se desprende de los </w:t>
      </w:r>
      <w:r w:rsidRPr="00A555A1">
        <w:rPr>
          <w:rFonts w:ascii="Century Gothic" w:eastAsia="Century Gothic" w:hAnsi="Century Gothic" w:cs="Century Gothic"/>
          <w:b/>
          <w:bCs/>
        </w:rPr>
        <w:t>Lineamientos (artículo 25 y Transitorio Sexto)</w:t>
      </w:r>
      <w:r w:rsidRPr="00A555A1">
        <w:rPr>
          <w:rFonts w:ascii="Century Gothic" w:eastAsia="Century Gothic" w:hAnsi="Century Gothic" w:cs="Century Gothic"/>
        </w:rPr>
        <w:t xml:space="preserve"> que la omisión de realizar la "Vinculación" y entregar la información biométrica requerida (prueba de vida), será motivo de "Desvinculación" o inhabilitación de la prestación del servicio relacionado con la línea telefónica móvil de que se trate, dejándola inactiva.</w:t>
      </w:r>
    </w:p>
    <w:p w14:paraId="114FCEF6" w14:textId="77777777" w:rsidR="00001DF2" w:rsidRPr="00A555A1" w:rsidRDefault="00000000">
      <w:pPr>
        <w:spacing w:line="360" w:lineRule="auto"/>
        <w:jc w:val="center"/>
        <w:rPr>
          <w:rFonts w:ascii="Century Gothic" w:eastAsia="Century Gothic" w:hAnsi="Century Gothic" w:cs="Century Gothic"/>
          <w:b/>
          <w:bCs/>
        </w:rPr>
      </w:pPr>
      <w:r w:rsidRPr="00A555A1">
        <w:rPr>
          <w:rFonts w:ascii="Century Gothic" w:eastAsia="Century Gothic" w:hAnsi="Century Gothic" w:cs="Century Gothic"/>
          <w:b/>
          <w:bCs/>
        </w:rPr>
        <w:t>A. CONTENIDO DEL DERECHO DE ACCESO A LAS TIC</w:t>
      </w:r>
    </w:p>
    <w:p w14:paraId="3DC35C34"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El Derecho de Acceso a las TIC se encuentra plenamente reconocido en el artículo 6º, tercer párrafo de la Constitución Política de los </w:t>
      </w:r>
      <w:r w:rsidRPr="00A555A1">
        <w:rPr>
          <w:rFonts w:ascii="Century Gothic" w:eastAsia="Century Gothic" w:hAnsi="Century Gothic" w:cs="Century Gothic"/>
        </w:rPr>
        <w:lastRenderedPageBreak/>
        <w:t xml:space="preserve">Estados Unidos Mexicanos (CPEUM), al señalar que: </w:t>
      </w:r>
      <w:r w:rsidRPr="00A555A1">
        <w:rPr>
          <w:rFonts w:ascii="Century Gothic" w:eastAsia="Century Gothic" w:hAnsi="Century Gothic" w:cs="Century Gothic"/>
          <w:i/>
          <w:iCs/>
        </w:rPr>
        <w:t>“[e]l Estado garantizará el derecho de acceso a las tecnologías de la información y comunicación, así como a los servicios de radiodifusión y telecomunicaciones, incluido el de banda ancha e Internet.”</w:t>
      </w:r>
      <w:r w:rsidRPr="00A555A1">
        <w:rPr>
          <w:rFonts w:ascii="Century Gothic" w:eastAsia="Century Gothic" w:hAnsi="Century Gothic" w:cs="Century Gothic"/>
        </w:rPr>
        <w:t xml:space="preserve"> Igualmente, en la fracción II del apartado B del mismo artículo 6º constitucional, se detalla categóricamente que </w:t>
      </w:r>
      <w:r w:rsidRPr="00A555A1">
        <w:rPr>
          <w:rFonts w:ascii="Century Gothic" w:eastAsia="Century Gothic" w:hAnsi="Century Gothic" w:cs="Century Gothic"/>
          <w:i/>
          <w:iCs/>
        </w:rPr>
        <w:t xml:space="preserve">“[l]as telecomunicaciones son servicios públicos de interés general, por lo que el Estado garantizará que sean prestados en condiciones de competencia, calidad, pluralidad, cobertura universal, interconexión, convergencia, continuidad, </w:t>
      </w:r>
      <w:r w:rsidRPr="00A555A1">
        <w:rPr>
          <w:rFonts w:ascii="Century Gothic" w:eastAsia="Century Gothic" w:hAnsi="Century Gothic" w:cs="Century Gothic"/>
          <w:b/>
          <w:bCs/>
          <w:i/>
          <w:iCs/>
        </w:rPr>
        <w:t>acceso libre y sin injerencias arbitrarias</w:t>
      </w:r>
      <w:r w:rsidRPr="00A555A1">
        <w:rPr>
          <w:rFonts w:ascii="Century Gothic" w:eastAsia="Century Gothic" w:hAnsi="Century Gothic" w:cs="Century Gothic"/>
          <w:i/>
          <w:iCs/>
        </w:rPr>
        <w:t>”</w:t>
      </w:r>
      <w:r w:rsidRPr="00A555A1">
        <w:rPr>
          <w:rFonts w:ascii="Century Gothic" w:eastAsia="Century Gothic" w:hAnsi="Century Gothic" w:cs="Century Gothic"/>
        </w:rPr>
        <w:t>.</w:t>
      </w:r>
    </w:p>
    <w:p w14:paraId="0AB51082"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Como han resaltado diversos organismos internacionales de derechos humanos, y tal como lo reconoció explícitamente la exposición de motivos de la iniciativa de la LMTR, </w:t>
      </w:r>
      <w:r w:rsidRPr="00A555A1">
        <w:rPr>
          <w:rFonts w:ascii="Century Gothic" w:eastAsia="Century Gothic" w:hAnsi="Century Gothic" w:cs="Century Gothic"/>
          <w:i/>
          <w:iCs/>
        </w:rPr>
        <w:t>“[e]l acceso a Internet ya no es un privilegio, sino un derecho fundamental que impacta en el ejercicio de otros derechos esenciales como la educación, la salud, el trabajo y la participación ciudadana”</w:t>
      </w:r>
      <w:r w:rsidRPr="00A555A1">
        <w:rPr>
          <w:rFonts w:ascii="Century Gothic" w:eastAsia="Century Gothic" w:hAnsi="Century Gothic" w:cs="Century Gothic"/>
        </w:rPr>
        <w:t xml:space="preserve">, lo cual concuerda con lo que organismos internacionales de derechos humanos han resaltado, el acceso a Internet constituye en la actualidad una condición </w:t>
      </w:r>
      <w:r w:rsidRPr="00A555A1">
        <w:rPr>
          <w:rFonts w:ascii="Century Gothic" w:eastAsia="Century Gothic" w:hAnsi="Century Gothic" w:cs="Century Gothic"/>
          <w:i/>
          <w:iCs/>
        </w:rPr>
        <w:t xml:space="preserve">sine qua non </w:t>
      </w:r>
      <w:r w:rsidRPr="00A555A1">
        <w:rPr>
          <w:rFonts w:ascii="Century Gothic" w:eastAsia="Century Gothic" w:hAnsi="Century Gothic" w:cs="Century Gothic"/>
        </w:rPr>
        <w:t>para el ejercicio efectivo de los derechos humanos hoy en día, incluyendo especialmente los derechos a la libertad de expresión y opinión, asociación y reunión, educación, salud y cultura, entre otros</w:t>
      </w:r>
      <w:r w:rsidRPr="00A555A1">
        <w:rPr>
          <w:rFonts w:ascii="Century Gothic" w:eastAsia="Century Gothic" w:hAnsi="Century Gothic" w:cs="Century Gothic"/>
          <w:vertAlign w:val="superscript"/>
        </w:rPr>
        <w:footnoteReference w:id="120"/>
      </w:r>
      <w:r w:rsidRPr="00A555A1">
        <w:rPr>
          <w:rFonts w:ascii="Century Gothic" w:eastAsia="Century Gothic" w:hAnsi="Century Gothic" w:cs="Century Gothic"/>
        </w:rPr>
        <w:t xml:space="preserve">. Inclusive se ha establecido que </w:t>
      </w:r>
      <w:r w:rsidRPr="00A555A1">
        <w:rPr>
          <w:rFonts w:ascii="Century Gothic" w:eastAsia="Century Gothic" w:hAnsi="Century Gothic" w:cs="Century Gothic"/>
          <w:i/>
          <w:iCs/>
        </w:rPr>
        <w:t>“[l]a interrupción del acceso a Internet, o a parte de este, aplicada a poblaciones enteras o a determinados segmentos del público (cancelación de Internet) no puede estar justificada en ningún caso, ni siquiera por razones de orden público o seguridad nacional”</w:t>
      </w:r>
      <w:r w:rsidRPr="00A555A1">
        <w:rPr>
          <w:rFonts w:ascii="Century Gothic" w:eastAsia="Century Gothic" w:hAnsi="Century Gothic" w:cs="Century Gothic"/>
        </w:rPr>
        <w:t>.</w:t>
      </w:r>
      <w:r w:rsidRPr="00A555A1">
        <w:rPr>
          <w:rFonts w:ascii="Century Gothic" w:eastAsia="Century Gothic" w:hAnsi="Century Gothic" w:cs="Century Gothic"/>
          <w:vertAlign w:val="superscript"/>
        </w:rPr>
        <w:footnoteReference w:id="121"/>
      </w:r>
    </w:p>
    <w:p w14:paraId="5F4707FE"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De esta forma, al ser inseparable del ejercicio pleno de determinados derechos, la CIDH en sus </w:t>
      </w:r>
      <w:r w:rsidRPr="00A555A1">
        <w:rPr>
          <w:rFonts w:ascii="Century Gothic" w:eastAsia="Century Gothic" w:hAnsi="Century Gothic" w:cs="Century Gothic"/>
          <w:i/>
          <w:iCs/>
        </w:rPr>
        <w:t>“Estándares para una Internet libre, abierta e incluyente”</w:t>
      </w:r>
      <w:r w:rsidRPr="00A555A1">
        <w:rPr>
          <w:rFonts w:ascii="Century Gothic" w:eastAsia="Century Gothic" w:hAnsi="Century Gothic" w:cs="Century Gothic"/>
        </w:rPr>
        <w:t xml:space="preserve"> ha establecido que el acceso a la red debe garantizarse universalmente, adoptando medidas para cerrar la brecha digital y estableciendo </w:t>
      </w:r>
      <w:r w:rsidRPr="00A555A1">
        <w:rPr>
          <w:rFonts w:ascii="Century Gothic" w:eastAsia="Century Gothic" w:hAnsi="Century Gothic" w:cs="Century Gothic"/>
          <w:b/>
          <w:bCs/>
        </w:rPr>
        <w:t>prohibiciones explícitas en torno a bloqueos o desconexiones arbitrarias</w:t>
      </w:r>
      <w:r w:rsidRPr="00A555A1">
        <w:rPr>
          <w:rFonts w:ascii="Century Gothic" w:eastAsia="Century Gothic" w:hAnsi="Century Gothic" w:cs="Century Gothic"/>
          <w:vertAlign w:val="superscript"/>
        </w:rPr>
        <w:footnoteReference w:id="122"/>
      </w:r>
      <w:r w:rsidRPr="00A555A1">
        <w:rPr>
          <w:rFonts w:ascii="Century Gothic" w:eastAsia="Century Gothic" w:hAnsi="Century Gothic" w:cs="Century Gothic"/>
        </w:rPr>
        <w:t xml:space="preserve">. </w:t>
      </w:r>
    </w:p>
    <w:p w14:paraId="430A8107"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lastRenderedPageBreak/>
        <w:t>La falta de acceso a Internet incrementa la vulnerabilidad y profundiza la desigualdad, perpetuando la exclusión social. De no asegurarse el acceso de la totalidad de la ciudadanía a los servicios digitales, las comunidades marginadas, de escasos recursos, aisladas y remotas se ven doblemente perjudicadas al perder el acceso a la totalidad de los servicios de comunicación, y no sólo a los digitales.</w:t>
      </w:r>
      <w:r w:rsidRPr="00A555A1">
        <w:rPr>
          <w:rFonts w:ascii="Century Gothic" w:eastAsia="Century Gothic" w:hAnsi="Century Gothic" w:cs="Century Gothic"/>
          <w:vertAlign w:val="superscript"/>
        </w:rPr>
        <w:footnoteReference w:id="123"/>
      </w:r>
    </w:p>
    <w:p w14:paraId="0504B6A6"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En atención a lo anterior, se ha entendido en la jurisprudencia nacional e internacional que el Estado posee diversas obligaciones positivas y negativas respecto al derecho de acceso a las TIC. Dentro de ellas se encuentra el deber imperioso de </w:t>
      </w:r>
      <w:r w:rsidRPr="00A555A1">
        <w:rPr>
          <w:rFonts w:ascii="Century Gothic" w:eastAsia="Century Gothic" w:hAnsi="Century Gothic" w:cs="Century Gothic"/>
          <w:b/>
          <w:bCs/>
        </w:rPr>
        <w:t>eliminar las barreras arbitrarias de acceso</w:t>
      </w:r>
      <w:r w:rsidRPr="00A555A1">
        <w:rPr>
          <w:rFonts w:ascii="Century Gothic" w:eastAsia="Century Gothic" w:hAnsi="Century Gothic" w:cs="Century Gothic"/>
        </w:rPr>
        <w:t xml:space="preserve"> a la infraestructura, la tecnología y la información en línea. Tal como lo argumentó el extinto INAI al impugnar exitosamente el PANAUT, y cuyos agravios encontraron eco en la declaratoria de invalidez dictada por la SCJN, la exigencia de requisitos excesivos para tener acceso a estos servicios (como condicionarlos a un padrón o a la entrega de datos) se traduce materialmente en la </w:t>
      </w:r>
      <w:r w:rsidRPr="00A555A1">
        <w:rPr>
          <w:rFonts w:ascii="Century Gothic" w:eastAsia="Century Gothic" w:hAnsi="Century Gothic" w:cs="Century Gothic"/>
          <w:b/>
          <w:bCs/>
        </w:rPr>
        <w:t>imposición de barreras al ejercicio de los derechos humanos</w:t>
      </w:r>
      <w:r w:rsidRPr="00A555A1">
        <w:rPr>
          <w:rFonts w:ascii="Century Gothic" w:eastAsia="Century Gothic" w:hAnsi="Century Gothic" w:cs="Century Gothic"/>
        </w:rPr>
        <w:t xml:space="preserve"> que se ven facilitados por ellos, particularmente los que resultan indispensables para la inserción de la población a la sociedad de la información y el conocimiento.</w:t>
      </w:r>
    </w:p>
    <w:p w14:paraId="20DFAE43" w14:textId="0F28255B"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A la luz de estas consideraciones y de las obligaciones constitucionales de progresividad y no discriminación, el Estado se encuentra obligado a </w:t>
      </w:r>
      <w:r w:rsidRPr="00A555A1">
        <w:rPr>
          <w:rFonts w:ascii="Century Gothic" w:eastAsia="Century Gothic" w:hAnsi="Century Gothic" w:cs="Century Gothic"/>
          <w:b/>
          <w:bCs/>
        </w:rPr>
        <w:t>no adoptar medidas que obstaculicen de manera coactiva y arbitraria el acceso a las TIC</w:t>
      </w:r>
      <w:r w:rsidRPr="00A555A1">
        <w:rPr>
          <w:rFonts w:ascii="Century Gothic" w:eastAsia="Century Gothic" w:hAnsi="Century Gothic" w:cs="Century Gothic"/>
        </w:rPr>
        <w:t>. Esto cobra especial relevancia cuando dichas medidas restrictivas tienen un efecto discriminatorio directo sobre grupos de personas históricamente excluidos y en situación de vulnerabilidad —como personas en situación de pobreza, comunidades indígenas, adultos mayores o personas migrantes</w:t>
      </w:r>
      <w:r w:rsidR="006A01DE" w:rsidRPr="00A555A1">
        <w:rPr>
          <w:rFonts w:ascii="Century Gothic" w:eastAsia="Century Gothic" w:hAnsi="Century Gothic" w:cs="Century Gothic"/>
        </w:rPr>
        <w:t>, o niñas, niños y adolescentes excluidos de su autonomía digital—</w:t>
      </w:r>
      <w:r w:rsidRPr="00A555A1">
        <w:rPr>
          <w:rFonts w:ascii="Century Gothic" w:eastAsia="Century Gothic" w:hAnsi="Century Gothic" w:cs="Century Gothic"/>
        </w:rPr>
        <w:t xml:space="preserve"> a quienes se les imponen requisitos burocráticos y tecnológicos (como la biometría y la "prueba de vida") que se erigen como un obstáculo insalvable para su conectividad.</w:t>
      </w:r>
    </w:p>
    <w:p w14:paraId="402CFD68" w14:textId="77777777" w:rsidR="00001DF2" w:rsidRPr="00A555A1" w:rsidRDefault="00000000">
      <w:pPr>
        <w:numPr>
          <w:ilvl w:val="0"/>
          <w:numId w:val="2"/>
        </w:numPr>
        <w:pBdr>
          <w:top w:val="nil"/>
          <w:left w:val="nil"/>
          <w:bottom w:val="nil"/>
          <w:right w:val="nil"/>
          <w:between w:val="nil"/>
        </w:pBdr>
        <w:spacing w:line="360" w:lineRule="auto"/>
        <w:jc w:val="center"/>
        <w:rPr>
          <w:rFonts w:ascii="Century Gothic" w:eastAsia="Century Gothic" w:hAnsi="Century Gothic" w:cs="Century Gothic"/>
          <w:b/>
          <w:bCs/>
          <w:color w:val="000000"/>
        </w:rPr>
      </w:pPr>
      <w:r w:rsidRPr="00A555A1">
        <w:rPr>
          <w:rFonts w:ascii="Century Gothic" w:eastAsia="Century Gothic" w:hAnsi="Century Gothic" w:cs="Century Gothic"/>
          <w:b/>
          <w:bCs/>
          <w:color w:val="000000"/>
        </w:rPr>
        <w:t>APLICACIÓN DEL PARÁMETRO DE REGULARIDAD CONSTITUCIONAL</w:t>
      </w:r>
    </w:p>
    <w:p w14:paraId="19025A0C" w14:textId="77777777" w:rsidR="00001DF2" w:rsidRPr="00A555A1" w:rsidRDefault="00000000">
      <w:pPr>
        <w:spacing w:line="360" w:lineRule="auto"/>
        <w:rPr>
          <w:rFonts w:ascii="Century Gothic" w:eastAsia="Century Gothic" w:hAnsi="Century Gothic" w:cs="Century Gothic"/>
          <w:b/>
          <w:bCs/>
        </w:rPr>
      </w:pPr>
      <w:r w:rsidRPr="00A555A1">
        <w:rPr>
          <w:rFonts w:ascii="Century Gothic" w:eastAsia="Century Gothic" w:hAnsi="Century Gothic" w:cs="Century Gothic"/>
          <w:b/>
          <w:bCs/>
        </w:rPr>
        <w:t>1. Violación al principio de legalidad y reserva de ley</w:t>
      </w:r>
    </w:p>
    <w:p w14:paraId="0A453AFB"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lastRenderedPageBreak/>
        <w:t xml:space="preserve">El artículo 103 de la LMTR establece que la obligación de identificación y la procedencia para mantener activo el servicio se hará </w:t>
      </w:r>
      <w:r w:rsidRPr="00A555A1">
        <w:rPr>
          <w:rFonts w:ascii="Century Gothic" w:eastAsia="Century Gothic" w:hAnsi="Century Gothic" w:cs="Century Gothic"/>
          <w:i/>
          <w:iCs/>
        </w:rPr>
        <w:t>"conforme a los lineamientos que para tal efecto emita la Comisión"</w:t>
      </w:r>
      <w:r w:rsidRPr="00A555A1">
        <w:rPr>
          <w:rFonts w:ascii="Century Gothic" w:eastAsia="Century Gothic" w:hAnsi="Century Gothic" w:cs="Century Gothic"/>
        </w:rPr>
        <w:t>. De esta manera, se faculta de forma inconstitucional a una autoridad administrativa (la CRT) a establecer restricciones absolutas al derecho humano de acceso a las TIC.</w:t>
      </w:r>
    </w:p>
    <w:p w14:paraId="1CF460A4"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No obstante lo anterior, como fue desarrollado en el concepto de violación SEGUNDO, los principios de legalidad y de reserva de ley exigen que las restricciones a los derechos humanos sean establecidas de manera clara, taxativa y previsible en una ley formal y material emanada del legislador. El habilitar a un órgano administrativo con una facultad para emitir disposiciones de carácter general que pormenoricen restricciones a derechos humanos transgrede el principio de legalidad en sus vertientes de reserva de ley y de subordinación jerárquica.</w:t>
      </w:r>
    </w:p>
    <w:p w14:paraId="662C228E" w14:textId="16859FA2"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En flagrante contravención a este parámetro, </w:t>
      </w:r>
      <w:r w:rsidRPr="00A555A1">
        <w:rPr>
          <w:rFonts w:ascii="Century Gothic" w:eastAsia="Century Gothic" w:hAnsi="Century Gothic" w:cs="Century Gothic"/>
          <w:b/>
          <w:bCs/>
        </w:rPr>
        <w:t>el artículo combatido viola el principio de legalidad, de reserva de ley y subordinación jerárquica al delegarse inconstitucionalmente en una autoridad administrativa (la CRT) la definición de aspectos sustantivos e invasivos</w:t>
      </w:r>
      <w:r w:rsidRPr="00A555A1">
        <w:rPr>
          <w:rFonts w:ascii="Century Gothic" w:eastAsia="Century Gothic" w:hAnsi="Century Gothic" w:cs="Century Gothic"/>
        </w:rPr>
        <w:t xml:space="preserve"> materializados en sus Lineamientos. Tal como se resolvió en </w:t>
      </w:r>
      <w:r w:rsidR="001D5DC9" w:rsidRPr="00A555A1">
        <w:rPr>
          <w:rFonts w:ascii="Century Gothic" w:eastAsia="Century Gothic" w:hAnsi="Century Gothic" w:cs="Century Gothic"/>
        </w:rPr>
        <w:t>el Caso PANAUT</w:t>
      </w:r>
      <w:r w:rsidRPr="00A555A1">
        <w:rPr>
          <w:rFonts w:ascii="Century Gothic" w:eastAsia="Century Gothic" w:hAnsi="Century Gothic" w:cs="Century Gothic"/>
        </w:rPr>
        <w:t>, no es factible aceptar que en disposiciones administrativas se pormenorice el acopio de biometría, pues ello debe estar delimitado estrictamente en la ley al constituir una restricción severa a un derecho humano.</w:t>
      </w:r>
    </w:p>
    <w:p w14:paraId="46369D84" w14:textId="1ED8569C"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Entre estas extralimitaciones reglamentarias, destacan:</w:t>
      </w:r>
    </w:p>
    <w:p w14:paraId="3845BB6D" w14:textId="6AD80F10" w:rsidR="00001DF2" w:rsidRPr="00A555A1" w:rsidRDefault="00000000">
      <w:pPr>
        <w:numPr>
          <w:ilvl w:val="0"/>
          <w:numId w:val="4"/>
        </w:numPr>
        <w:spacing w:line="360" w:lineRule="auto"/>
        <w:ind w:left="0" w:firstLine="1418"/>
        <w:jc w:val="both"/>
        <w:rPr>
          <w:rFonts w:ascii="Century Gothic" w:eastAsia="Century Gothic" w:hAnsi="Century Gothic" w:cs="Century Gothic"/>
        </w:rPr>
      </w:pPr>
      <w:r w:rsidRPr="00A555A1">
        <w:rPr>
          <w:rFonts w:ascii="Century Gothic" w:eastAsia="Century Gothic" w:hAnsi="Century Gothic" w:cs="Century Gothic"/>
          <w:b/>
          <w:bCs/>
        </w:rPr>
        <w:t>La imposición coactiva de una "prueba de vida" biométrica:</w:t>
      </w:r>
      <w:r w:rsidRPr="00A555A1">
        <w:rPr>
          <w:rFonts w:ascii="Century Gothic" w:eastAsia="Century Gothic" w:hAnsi="Century Gothic" w:cs="Century Gothic"/>
        </w:rPr>
        <w:t xml:space="preserve"> Se delega a la CRT la facultad de exigir la entrega del rostro y biometría, omitiendo el legislador regular, limitar o prohibir que dichos datos sensibles sean extraídos y utilizados posteriormente por corporativos para el entrenamiento opaco de </w:t>
      </w:r>
      <w:r w:rsidR="00773CA4" w:rsidRPr="00A555A1">
        <w:rPr>
          <w:rFonts w:ascii="Century Gothic" w:eastAsia="Century Gothic" w:hAnsi="Century Gothic" w:cs="Century Gothic"/>
        </w:rPr>
        <w:t>herramientas tecnológicas, como modelos de Inteligencia Artificial o tratamientos de datos automatizados</w:t>
      </w:r>
      <w:r w:rsidRPr="00A555A1">
        <w:rPr>
          <w:rFonts w:ascii="Century Gothic" w:eastAsia="Century Gothic" w:hAnsi="Century Gothic" w:cs="Century Gothic"/>
        </w:rPr>
        <w:t>, dejando al usuario en absoluta indefensión frente a la mercantilización de su intimidad.</w:t>
      </w:r>
    </w:p>
    <w:p w14:paraId="663422B5" w14:textId="5EF070CC" w:rsidR="00001DF2" w:rsidRPr="00A555A1" w:rsidRDefault="00000000">
      <w:pPr>
        <w:numPr>
          <w:ilvl w:val="0"/>
          <w:numId w:val="4"/>
        </w:numPr>
        <w:spacing w:line="360" w:lineRule="auto"/>
        <w:ind w:left="0" w:firstLine="1418"/>
        <w:jc w:val="both"/>
        <w:rPr>
          <w:rFonts w:ascii="Century Gothic" w:eastAsia="Century Gothic" w:hAnsi="Century Gothic" w:cs="Century Gothic"/>
        </w:rPr>
      </w:pPr>
      <w:r w:rsidRPr="00A555A1">
        <w:rPr>
          <w:rFonts w:ascii="Century Gothic" w:eastAsia="Century Gothic" w:hAnsi="Century Gothic" w:cs="Century Gothic"/>
          <w:b/>
          <w:bCs/>
        </w:rPr>
        <w:t>La fijación arbitraria de límites en el número de líneas y la laguna para empresas fantasma:</w:t>
      </w:r>
      <w:r w:rsidRPr="00A555A1">
        <w:rPr>
          <w:rFonts w:ascii="Century Gothic" w:eastAsia="Century Gothic" w:hAnsi="Century Gothic" w:cs="Century Gothic"/>
        </w:rPr>
        <w:t xml:space="preserve"> La CRT determina caprichosamente un límite de líneas para personas físicas, pero mediante </w:t>
      </w:r>
      <w:r w:rsidR="00773CA4" w:rsidRPr="00A555A1">
        <w:rPr>
          <w:rFonts w:ascii="Century Gothic" w:eastAsia="Century Gothic" w:hAnsi="Century Gothic" w:cs="Century Gothic"/>
        </w:rPr>
        <w:t>los artículos</w:t>
      </w:r>
      <w:r w:rsidRPr="00A555A1">
        <w:rPr>
          <w:rFonts w:ascii="Century Gothic" w:eastAsia="Century Gothic" w:hAnsi="Century Gothic" w:cs="Century Gothic"/>
        </w:rPr>
        <w:t xml:space="preserve"> 10</w:t>
      </w:r>
      <w:r w:rsidR="00773CA4" w:rsidRPr="00A555A1">
        <w:rPr>
          <w:rFonts w:ascii="Century Gothic" w:eastAsia="Century Gothic" w:hAnsi="Century Gothic" w:cs="Century Gothic"/>
        </w:rPr>
        <w:t xml:space="preserve"> y 16</w:t>
      </w:r>
      <w:r w:rsidRPr="00A555A1">
        <w:rPr>
          <w:rFonts w:ascii="Century Gothic" w:eastAsia="Century Gothic" w:hAnsi="Century Gothic" w:cs="Century Gothic"/>
        </w:rPr>
        <w:t xml:space="preserve"> de los Lineamientos exenta de este tope a las personas morales y personas con actividad empresarial. Esta delegación defectuosa facilita que la </w:t>
      </w:r>
      <w:r w:rsidRPr="00A555A1">
        <w:rPr>
          <w:rFonts w:ascii="Century Gothic" w:eastAsia="Century Gothic" w:hAnsi="Century Gothic" w:cs="Century Gothic"/>
        </w:rPr>
        <w:lastRenderedPageBreak/>
        <w:t xml:space="preserve">delincuencia organizada utilice el robo de identidad —fenómeno alertado por la PRODECON— para constituir </w:t>
      </w:r>
      <w:r w:rsidRPr="00A555A1">
        <w:rPr>
          <w:rFonts w:ascii="Century Gothic" w:eastAsia="Century Gothic" w:hAnsi="Century Gothic" w:cs="Century Gothic"/>
          <w:i/>
          <w:iCs/>
        </w:rPr>
        <w:t>call centers</w:t>
      </w:r>
      <w:r w:rsidRPr="00A555A1">
        <w:rPr>
          <w:rFonts w:ascii="Century Gothic" w:eastAsia="Century Gothic" w:hAnsi="Century Gothic" w:cs="Century Gothic"/>
        </w:rPr>
        <w:t xml:space="preserve"> de extorsión a nombre de ciudadanos inocentes suplantados, garantizando el anonimato del verdadero criminal.</w:t>
      </w:r>
    </w:p>
    <w:p w14:paraId="792458FC" w14:textId="492418CD" w:rsidR="00001DF2" w:rsidRPr="00A555A1" w:rsidRDefault="00000000">
      <w:pPr>
        <w:numPr>
          <w:ilvl w:val="0"/>
          <w:numId w:val="4"/>
        </w:numPr>
        <w:spacing w:line="360" w:lineRule="auto"/>
        <w:ind w:left="0" w:firstLine="1418"/>
        <w:jc w:val="both"/>
        <w:rPr>
          <w:rFonts w:ascii="Century Gothic" w:eastAsia="Century Gothic" w:hAnsi="Century Gothic" w:cs="Century Gothic"/>
        </w:rPr>
      </w:pPr>
      <w:r w:rsidRPr="00A555A1">
        <w:rPr>
          <w:rFonts w:ascii="Century Gothic" w:eastAsia="Century Gothic" w:hAnsi="Century Gothic" w:cs="Century Gothic"/>
          <w:b/>
          <w:bCs/>
        </w:rPr>
        <w:t>Excepciones discriminatorias injustificadas (Mundial 2026):</w:t>
      </w:r>
      <w:r w:rsidRPr="00A555A1">
        <w:rPr>
          <w:rFonts w:ascii="Century Gothic" w:eastAsia="Century Gothic" w:hAnsi="Century Gothic" w:cs="Century Gothic"/>
        </w:rPr>
        <w:t xml:space="preserve"> La autoridad administrativa se arroga la facultad de exentar del registro obligatorio a los números extranjeros en </w:t>
      </w:r>
      <w:r w:rsidRPr="00A555A1">
        <w:rPr>
          <w:rFonts w:ascii="Century Gothic" w:eastAsia="Century Gothic" w:hAnsi="Century Gothic" w:cs="Century Gothic"/>
          <w:i/>
          <w:iCs/>
        </w:rPr>
        <w:t>Roaming</w:t>
      </w:r>
      <w:r w:rsidRPr="00A555A1">
        <w:rPr>
          <w:rFonts w:ascii="Century Gothic" w:eastAsia="Century Gothic" w:hAnsi="Century Gothic" w:cs="Century Gothic"/>
        </w:rPr>
        <w:t xml:space="preserve"> Internacional durante el Mundial de Fútbol de 2026 (Transitorio Noveno). Esto evidencia que la medida no obedece a un fin estricto e imperioso de seguridad pública, sino que es una carga que la autoridad exime a discreción.</w:t>
      </w:r>
    </w:p>
    <w:p w14:paraId="0276B695" w14:textId="77777777" w:rsidR="00001DF2" w:rsidRPr="00A555A1" w:rsidRDefault="00000000">
      <w:pPr>
        <w:numPr>
          <w:ilvl w:val="0"/>
          <w:numId w:val="4"/>
        </w:numPr>
        <w:spacing w:line="360" w:lineRule="auto"/>
        <w:ind w:left="0" w:firstLine="1418"/>
        <w:jc w:val="both"/>
        <w:rPr>
          <w:rFonts w:ascii="Century Gothic" w:eastAsia="Century Gothic" w:hAnsi="Century Gothic" w:cs="Century Gothic"/>
        </w:rPr>
      </w:pPr>
      <w:r w:rsidRPr="00A555A1">
        <w:rPr>
          <w:rFonts w:ascii="Century Gothic" w:eastAsia="Century Gothic" w:hAnsi="Century Gothic" w:cs="Century Gothic"/>
          <w:b/>
          <w:bCs/>
        </w:rPr>
        <w:t>La desconexión como anulación del ecosistema de derechos (Interdependencia):</w:t>
      </w:r>
      <w:r w:rsidRPr="00A555A1">
        <w:rPr>
          <w:rFonts w:ascii="Century Gothic" w:eastAsia="Century Gothic" w:hAnsi="Century Gothic" w:cs="Century Gothic"/>
        </w:rPr>
        <w:t xml:space="preserve"> Se delega en un ordenamiento administrativo la facultad de establecer como sanción la desconexión ("Desvinculación") del servicio a quien no entregue su datos personales y biometría. Esta desconexión dictada administrativamente anula en cascada el ejercicio de otros derechos fundamentales protegidos por la Constitución: expulsa al ciudadano del espacio público digital inhibiendo su libertad de expresión y de protesta, bloquea su derecho a la salud (plataformas del IMSS), frena su inclusión financiera, y lo deja en estado de indefensión fiscal al imposibilitarle cumplir con sus obligaciones tributarias de contar con un celular para el Buzón Tributario del SAT (Regla 2.2.7 de la RMF 2026).</w:t>
      </w:r>
    </w:p>
    <w:p w14:paraId="1F472F7F"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De esta manera, el delegar en un ordenamiento administrativo (Lineamientos) la facultad de exigir "pruebas de vida", fijar excepciones arbitrarias y establecer como sanción la desconexión del servicio de las TIC a quien no entregue su biometría, </w:t>
      </w:r>
      <w:r w:rsidRPr="00A555A1">
        <w:rPr>
          <w:rFonts w:ascii="Century Gothic" w:eastAsia="Century Gothic" w:hAnsi="Century Gothic" w:cs="Century Gothic"/>
          <w:b/>
          <w:bCs/>
        </w:rPr>
        <w:t>resulta ser abiertamente inconstitucional y violatorio de la reserva de ley</w:t>
      </w:r>
      <w:r w:rsidRPr="00A555A1">
        <w:rPr>
          <w:rFonts w:ascii="Century Gothic" w:eastAsia="Century Gothic" w:hAnsi="Century Gothic" w:cs="Century Gothic"/>
        </w:rPr>
        <w:t>, pues permite que una autoridad inferior decida sobre la suspensión generalizada de los derechos civiles, políticos y económicos de la población.</w:t>
      </w:r>
    </w:p>
    <w:p w14:paraId="03520D2B" w14:textId="77777777" w:rsidR="006A01DE" w:rsidRPr="00A555A1" w:rsidRDefault="006061AF" w:rsidP="006061AF">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b/>
          <w:bCs/>
        </w:rPr>
        <w:t xml:space="preserve">e) Inconstitucionalidad por exclusión digital de menores de edad y violación al Interés Superior de la Niñez: </w:t>
      </w:r>
      <w:r w:rsidR="006A01DE" w:rsidRPr="00A555A1">
        <w:rPr>
          <w:rFonts w:ascii="Century Gothic" w:eastAsia="Century Gothic" w:hAnsi="Century Gothic" w:cs="Century Gothic"/>
        </w:rPr>
        <w:t xml:space="preserve">Agravando la inconstitucionalidad por invasión de facultades legislativas, mediante el </w:t>
      </w:r>
      <w:r w:rsidR="006A01DE" w:rsidRPr="00A555A1">
        <w:rPr>
          <w:rFonts w:ascii="Century Gothic" w:eastAsia="Century Gothic" w:hAnsi="Century Gothic" w:cs="Century Gothic"/>
          <w:i/>
          <w:iCs/>
        </w:rPr>
        <w:t>Acuerdo de modificación a los Lineamientos</w:t>
      </w:r>
      <w:r w:rsidR="006A01DE" w:rsidRPr="00A555A1">
        <w:rPr>
          <w:rFonts w:ascii="Century Gothic" w:eastAsia="Century Gothic" w:hAnsi="Century Gothic" w:cs="Century Gothic"/>
        </w:rPr>
        <w:t xml:space="preserve"> (D.O.F. 30/06/2026), la autoridad administrativa reformó las fracciones XXXI y XXXII del artículo 2, estableciendo arbitrariamente que tanto el "Titular" como el "Usuario" de una línea móvil deben ser forzosamente "personas físicas mayores de edad". </w:t>
      </w:r>
    </w:p>
    <w:p w14:paraId="032F2BB9" w14:textId="122DD506" w:rsidR="006A01DE" w:rsidRPr="00A555A1" w:rsidRDefault="006A01DE" w:rsidP="006061AF">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lastRenderedPageBreak/>
        <w:t xml:space="preserve">Esta restricción reglamentaria expulsa </w:t>
      </w:r>
      <w:r w:rsidRPr="00A555A1">
        <w:rPr>
          <w:rFonts w:ascii="Century Gothic" w:eastAsia="Century Gothic" w:hAnsi="Century Gothic" w:cs="Century Gothic"/>
          <w:i/>
          <w:iCs/>
        </w:rPr>
        <w:t>de jure</w:t>
      </w:r>
      <w:r w:rsidRPr="00A555A1">
        <w:rPr>
          <w:rFonts w:ascii="Century Gothic" w:eastAsia="Century Gothic" w:hAnsi="Century Gothic" w:cs="Century Gothic"/>
        </w:rPr>
        <w:t xml:space="preserve"> a todas las niñas, niños y adolescentes del país de la posibilidad de ser titulares o usuarios legítimos de una línea de comunicación móvil. </w:t>
      </w:r>
    </w:p>
    <w:p w14:paraId="1EB0DC49" w14:textId="32713112" w:rsidR="006A01DE" w:rsidRPr="00A555A1" w:rsidRDefault="006A01DE" w:rsidP="006061AF">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Esta prohibición administrativa dictada por la CRT choca de frente y hace nugatoria la Ley General de los Derechos de Niñas, Niños y Adolescentes (en adelante, LGDNNA), cuyo artículo 13, fracción XX</w:t>
      </w:r>
      <w:r w:rsidRPr="00A555A1">
        <w:rPr>
          <w:rStyle w:val="Refdenotaalpie"/>
          <w:rFonts w:ascii="Century Gothic" w:eastAsia="Century Gothic" w:hAnsi="Century Gothic" w:cs="Century Gothic"/>
        </w:rPr>
        <w:footnoteReference w:id="124"/>
      </w:r>
      <w:r w:rsidRPr="00A555A1">
        <w:rPr>
          <w:rFonts w:ascii="Century Gothic" w:eastAsia="Century Gothic" w:hAnsi="Century Gothic" w:cs="Century Gothic"/>
        </w:rPr>
        <w:t>, y 101 Bis</w:t>
      </w:r>
      <w:r w:rsidRPr="00A555A1">
        <w:rPr>
          <w:rStyle w:val="Refdenotaalpie"/>
          <w:rFonts w:ascii="Century Gothic" w:eastAsia="Century Gothic" w:hAnsi="Century Gothic" w:cs="Century Gothic"/>
        </w:rPr>
        <w:footnoteReference w:id="125"/>
      </w:r>
      <w:r w:rsidRPr="00A555A1">
        <w:rPr>
          <w:rFonts w:ascii="Century Gothic" w:eastAsia="Century Gothic" w:hAnsi="Century Gothic" w:cs="Century Gothic"/>
        </w:rPr>
        <w:t xml:space="preserve"> estatuyen el derecho al acceso universal a las TIC para la niñez. </w:t>
      </w:r>
    </w:p>
    <w:p w14:paraId="5C5D17AF" w14:textId="7C647057" w:rsidR="006A01DE" w:rsidRPr="00A555A1" w:rsidRDefault="006A01DE" w:rsidP="006061AF">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Al exigir la mayoría de edad, la CRT asume erróneamente que la niñez no es titular de derechos digitales, vulnerando </w:t>
      </w:r>
      <w:r w:rsidR="00965E7A" w:rsidRPr="00A555A1">
        <w:rPr>
          <w:rFonts w:ascii="Century Gothic" w:eastAsia="Century Gothic" w:hAnsi="Century Gothic" w:cs="Century Gothic"/>
        </w:rPr>
        <w:t xml:space="preserve">los </w:t>
      </w:r>
      <w:r w:rsidRPr="00A555A1">
        <w:rPr>
          <w:rFonts w:ascii="Century Gothic" w:eastAsia="Century Gothic" w:hAnsi="Century Gothic" w:cs="Century Gothic"/>
        </w:rPr>
        <w:t>artículo</w:t>
      </w:r>
      <w:r w:rsidR="00965E7A" w:rsidRPr="00A555A1">
        <w:rPr>
          <w:rFonts w:ascii="Century Gothic" w:eastAsia="Century Gothic" w:hAnsi="Century Gothic" w:cs="Century Gothic"/>
        </w:rPr>
        <w:t>s</w:t>
      </w:r>
      <w:r w:rsidRPr="00A555A1">
        <w:rPr>
          <w:rFonts w:ascii="Century Gothic" w:eastAsia="Century Gothic" w:hAnsi="Century Gothic" w:cs="Century Gothic"/>
        </w:rPr>
        <w:t xml:space="preserve"> 4o.</w:t>
      </w:r>
      <w:r w:rsidR="00773CA4" w:rsidRPr="00A555A1">
        <w:rPr>
          <w:rFonts w:ascii="Century Gothic" w:eastAsia="Century Gothic" w:hAnsi="Century Gothic" w:cs="Century Gothic"/>
        </w:rPr>
        <w:t xml:space="preserve">, undécimo párrafo, en relación con el 6º, tercer párrafo de la CPEUM </w:t>
      </w:r>
      <w:r w:rsidRPr="00A555A1">
        <w:rPr>
          <w:rFonts w:ascii="Century Gothic" w:eastAsia="Century Gothic" w:hAnsi="Century Gothic" w:cs="Century Gothic"/>
        </w:rPr>
        <w:t>sin tener facultades legislativas para ello.</w:t>
      </w:r>
    </w:p>
    <w:p w14:paraId="684FA487" w14:textId="5F889BC9" w:rsidR="00381D53" w:rsidRPr="00A555A1" w:rsidRDefault="00381D53" w:rsidP="006061AF">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Esta exclusión administrativa resulta aún más desproporcionada e irracional al contrastarla con la realidad del país, pues de acuerdo con los resultados de la Encuesta Nacional sobre Disponibilidad y Uso de Tecnologías de la Información en los Hogares (ENDUTIH) 2025</w:t>
      </w:r>
      <w:r w:rsidRPr="00A555A1">
        <w:rPr>
          <w:rStyle w:val="Refdenotaalpie"/>
          <w:rFonts w:ascii="Century Gothic" w:eastAsia="Century Gothic" w:hAnsi="Century Gothic" w:cs="Century Gothic"/>
        </w:rPr>
        <w:footnoteReference w:id="126"/>
      </w:r>
      <w:r w:rsidRPr="00A555A1">
        <w:rPr>
          <w:rFonts w:ascii="Century Gothic" w:eastAsia="Century Gothic" w:hAnsi="Century Gothic" w:cs="Century Gothic"/>
        </w:rPr>
        <w:t xml:space="preserve">, publicada por el INEGI, </w:t>
      </w:r>
      <w:r w:rsidRPr="00A555A1">
        <w:rPr>
          <w:rFonts w:ascii="Century Gothic" w:eastAsia="Century Gothic" w:hAnsi="Century Gothic" w:cs="Century Gothic"/>
          <w:b/>
          <w:bCs/>
        </w:rPr>
        <w:t>el 85.4% de las niñas y niños de 6 a 14 años</w:t>
      </w:r>
      <w:r w:rsidRPr="00A555A1">
        <w:rPr>
          <w:rStyle w:val="Refdenotaalpie"/>
          <w:rFonts w:ascii="Century Gothic" w:eastAsia="Century Gothic" w:hAnsi="Century Gothic" w:cs="Century Gothic"/>
          <w:b/>
          <w:bCs/>
        </w:rPr>
        <w:footnoteReference w:id="127"/>
      </w:r>
      <w:r w:rsidRPr="00A555A1">
        <w:rPr>
          <w:rFonts w:ascii="Century Gothic" w:eastAsia="Century Gothic" w:hAnsi="Century Gothic" w:cs="Century Gothic"/>
        </w:rPr>
        <w:t xml:space="preserve">, así como el </w:t>
      </w:r>
      <w:r w:rsidRPr="00A555A1">
        <w:rPr>
          <w:rFonts w:ascii="Century Gothic" w:eastAsia="Century Gothic" w:hAnsi="Century Gothic" w:cs="Century Gothic"/>
          <w:b/>
          <w:bCs/>
        </w:rPr>
        <w:t>97.6% de las y los jóvenes de 15 a 24 años</w:t>
      </w:r>
      <w:r w:rsidRPr="00A555A1">
        <w:rPr>
          <w:rStyle w:val="Refdenotaalpie"/>
          <w:rFonts w:ascii="Century Gothic" w:eastAsia="Century Gothic" w:hAnsi="Century Gothic" w:cs="Century Gothic"/>
          <w:b/>
          <w:bCs/>
        </w:rPr>
        <w:footnoteReference w:id="128"/>
      </w:r>
      <w:r w:rsidRPr="00A555A1">
        <w:rPr>
          <w:rFonts w:ascii="Century Gothic" w:eastAsia="Century Gothic" w:hAnsi="Century Gothic" w:cs="Century Gothic"/>
        </w:rPr>
        <w:t xml:space="preserve">, son usuarios activos de internet. Aún más revelador y perjudicial para la medida </w:t>
      </w:r>
      <w:r w:rsidR="003E1571" w:rsidRPr="00A555A1">
        <w:rPr>
          <w:rFonts w:ascii="Century Gothic" w:eastAsia="Century Gothic" w:hAnsi="Century Gothic" w:cs="Century Gothic"/>
        </w:rPr>
        <w:t>combatida</w:t>
      </w:r>
      <w:r w:rsidRPr="00A555A1">
        <w:rPr>
          <w:rFonts w:ascii="Century Gothic" w:eastAsia="Century Gothic" w:hAnsi="Century Gothic" w:cs="Century Gothic"/>
        </w:rPr>
        <w:t xml:space="preserve">, la misma encuesta del Estado Mexicano demuestra que </w:t>
      </w:r>
      <w:r w:rsidRPr="00A555A1">
        <w:rPr>
          <w:rFonts w:ascii="Century Gothic" w:eastAsia="Century Gothic" w:hAnsi="Century Gothic" w:cs="Century Gothic"/>
          <w:b/>
          <w:bCs/>
        </w:rPr>
        <w:t>el 97.3% de las personas usuarias de internet se conecta a la red a través de un teléfono celular inteligente (smartphone)</w:t>
      </w:r>
      <w:r w:rsidR="003E1571" w:rsidRPr="00A555A1">
        <w:rPr>
          <w:rStyle w:val="Refdenotaalpie"/>
          <w:rFonts w:ascii="Century Gothic" w:eastAsia="Century Gothic" w:hAnsi="Century Gothic" w:cs="Century Gothic"/>
        </w:rPr>
        <w:footnoteReference w:id="129"/>
      </w:r>
      <w:r w:rsidR="003E1571" w:rsidRPr="00A555A1">
        <w:rPr>
          <w:rFonts w:ascii="Century Gothic" w:eastAsia="Century Gothic" w:hAnsi="Century Gothic" w:cs="Century Gothic"/>
          <w:b/>
          <w:bCs/>
        </w:rPr>
        <w:t>.</w:t>
      </w:r>
    </w:p>
    <w:p w14:paraId="50FEAEF4" w14:textId="4182D87A" w:rsidR="00381D53" w:rsidRPr="00A555A1" w:rsidRDefault="003E1571" w:rsidP="006061AF">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Es decir, las estadísticas oficiales comprueban que el dispositivo móvil es la puerta de acceso fundamental y casi exclusiva a la sociedad de la información para las infancias y adolescencias en México. A pesar de esta realidad inobjetable, la CRT, mediante una modificación a los Lineamientos, les prohíbe ser usuarios o titulares de dichas líneas.</w:t>
      </w:r>
    </w:p>
    <w:p w14:paraId="1F3E0487" w14:textId="77777777" w:rsidR="006061AF" w:rsidRPr="00A555A1" w:rsidRDefault="006061AF" w:rsidP="006061AF">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lastRenderedPageBreak/>
        <w:t xml:space="preserve">Aún más, el legislador dotó de un contenido sustantivo a esta prerrogativa mediante el Capítulo Vigésimo de la LGDNNA, cuyo artículo 101 Bis estatuye que </w:t>
      </w:r>
      <w:r w:rsidRPr="00A555A1">
        <w:rPr>
          <w:rFonts w:ascii="Century Gothic" w:eastAsia="Century Gothic" w:hAnsi="Century Gothic" w:cs="Century Gothic"/>
          <w:i/>
          <w:iCs/>
        </w:rPr>
        <w:t>"Niñas, niños y adolescentes gozan del derecho de acceso universal a las Tecnologías de la Información y Comunicación, así como a los servicios de radiodifusión y telecomunicaciones, incluido el de banda ancha e Internet"</w:t>
      </w:r>
      <w:r w:rsidRPr="00A555A1">
        <w:rPr>
          <w:rFonts w:ascii="Century Gothic" w:eastAsia="Century Gothic" w:hAnsi="Century Gothic" w:cs="Century Gothic"/>
        </w:rPr>
        <w:t xml:space="preserve">. A su vez, el artículo 101 Bis 1 impone al Estado la obligación ineludible de garantizar su integración a la sociedad de la información mediante </w:t>
      </w:r>
      <w:r w:rsidRPr="00A555A1">
        <w:rPr>
          <w:rFonts w:ascii="Century Gothic" w:eastAsia="Century Gothic" w:hAnsi="Century Gothic" w:cs="Century Gothic"/>
          <w:i/>
          <w:iCs/>
        </w:rPr>
        <w:t>"una política de inclusión digital universal en condiciones de equidad, asequibilidad, disponibilidad, accesibilidad y calidad"</w:t>
      </w:r>
      <w:r w:rsidRPr="00A555A1">
        <w:rPr>
          <w:rFonts w:ascii="Century Gothic" w:eastAsia="Century Gothic" w:hAnsi="Century Gothic" w:cs="Century Gothic"/>
        </w:rPr>
        <w:t>.</w:t>
      </w:r>
    </w:p>
    <w:p w14:paraId="1BAA99A5" w14:textId="343637C4" w:rsidR="00965E7A" w:rsidRPr="00A555A1" w:rsidRDefault="00965E7A" w:rsidP="00965E7A">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Al exigir la mayoría de edad como requisito insalvable para registrar y habilitar una línea celular, la CRT incurre en un vicio de inconstitucionalidad absoluta, pues el artículo 2 de la LGDNNA manda que </w:t>
      </w:r>
      <w:r w:rsidRPr="00A555A1">
        <w:rPr>
          <w:rFonts w:ascii="Century Gothic" w:eastAsia="Century Gothic" w:hAnsi="Century Gothic" w:cs="Century Gothic"/>
          <w:i/>
          <w:iCs/>
        </w:rPr>
        <w:t>"el interés superior de la niñez deberá ser considerado de manera primordial en la toma de decisiones sobre una cuestión debatida que involucre niñas, niños y adolescentes"</w:t>
      </w:r>
      <w:r w:rsidRPr="00A555A1">
        <w:rPr>
          <w:rFonts w:ascii="Century Gothic" w:eastAsia="Century Gothic" w:hAnsi="Century Gothic" w:cs="Century Gothic"/>
        </w:rPr>
        <w:t>.</w:t>
      </w:r>
    </w:p>
    <w:p w14:paraId="29407EFE" w14:textId="7A17F20F" w:rsidR="006061AF" w:rsidRPr="00A555A1" w:rsidRDefault="006061AF" w:rsidP="006061AF">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Sin embargo, la medida adoptada por la autoridad administrativa asume erróneamente que la niñez no es titular de derechos digitales, forzándolos a depender de un adulto y anulando su derecho a la autonomía progresiva.</w:t>
      </w:r>
    </w:p>
    <w:p w14:paraId="2A54A8D9" w14:textId="27D72319" w:rsidR="006061AF" w:rsidRPr="00A555A1" w:rsidRDefault="006061AF" w:rsidP="006061AF">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Condicionar el acceso a las telecomunicaciones a la mayoría de edad, bajo la sanción de "Desvinculación" o suspensión del servicio, no solo es una restricción que carece de asidero en la </w:t>
      </w:r>
      <w:r w:rsidR="002818E2" w:rsidRPr="00A555A1">
        <w:rPr>
          <w:rFonts w:ascii="Century Gothic" w:eastAsia="Century Gothic" w:hAnsi="Century Gothic" w:cs="Century Gothic"/>
        </w:rPr>
        <w:t>LMTR</w:t>
      </w:r>
      <w:r w:rsidRPr="00A555A1">
        <w:rPr>
          <w:rFonts w:ascii="Century Gothic" w:eastAsia="Century Gothic" w:hAnsi="Century Gothic" w:cs="Century Gothic"/>
        </w:rPr>
        <w:t xml:space="preserve"> (violando la reserva de ley), sino que es una medida radicalmente desproporcionada</w:t>
      </w:r>
      <w:r w:rsidR="002818E2" w:rsidRPr="00A555A1">
        <w:rPr>
          <w:rFonts w:ascii="Century Gothic" w:eastAsia="Century Gothic" w:hAnsi="Century Gothic" w:cs="Century Gothic"/>
        </w:rPr>
        <w:t>, pues e</w:t>
      </w:r>
      <w:r w:rsidRPr="00A555A1">
        <w:rPr>
          <w:rFonts w:ascii="Century Gothic" w:eastAsia="Century Gothic" w:hAnsi="Century Gothic" w:cs="Century Gothic"/>
        </w:rPr>
        <w:t xml:space="preserve">l Estado Mexicano, bajo la excusa del combate a la extorsión, ha decidido </w:t>
      </w:r>
      <w:r w:rsidR="002818E2" w:rsidRPr="00A555A1">
        <w:rPr>
          <w:rFonts w:ascii="Century Gothic" w:eastAsia="Century Gothic" w:hAnsi="Century Gothic" w:cs="Century Gothic"/>
        </w:rPr>
        <w:t>mutilar</w:t>
      </w:r>
      <w:r w:rsidRPr="00A555A1">
        <w:rPr>
          <w:rFonts w:ascii="Century Gothic" w:eastAsia="Century Gothic" w:hAnsi="Century Gothic" w:cs="Century Gothic"/>
        </w:rPr>
        <w:t xml:space="preserve"> el acceso de millones de menores de edad a su derecho a la educación, a la información y al esparcimiento a través de Internet.</w:t>
      </w:r>
    </w:p>
    <w:p w14:paraId="0CDE46C1" w14:textId="3445AD5E" w:rsidR="006061AF" w:rsidRPr="00A555A1" w:rsidRDefault="003E1571" w:rsidP="006061AF">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Por consiguiente, al establecer los Lineamientos la mayoría de edad como requisito </w:t>
      </w:r>
      <w:r w:rsidR="006061AF" w:rsidRPr="00A555A1">
        <w:rPr>
          <w:rFonts w:ascii="Century Gothic" w:eastAsia="Century Gothic" w:hAnsi="Century Gothic" w:cs="Century Gothic"/>
        </w:rPr>
        <w:t>—</w:t>
      </w:r>
      <w:r w:rsidRPr="00A555A1">
        <w:rPr>
          <w:rFonts w:ascii="Century Gothic" w:eastAsia="Century Gothic" w:hAnsi="Century Gothic" w:cs="Century Gothic"/>
        </w:rPr>
        <w:t>bajo pena de desconexión</w:t>
      </w:r>
      <w:r w:rsidR="006061AF" w:rsidRPr="00A555A1">
        <w:rPr>
          <w:rFonts w:ascii="Century Gothic" w:eastAsia="Century Gothic" w:hAnsi="Century Gothic" w:cs="Century Gothic"/>
        </w:rPr>
        <w:t xml:space="preserve">— </w:t>
      </w:r>
      <w:r w:rsidRPr="00A555A1">
        <w:rPr>
          <w:rFonts w:ascii="Century Gothic" w:eastAsia="Century Gothic" w:hAnsi="Century Gothic" w:cs="Century Gothic"/>
        </w:rPr>
        <w:t xml:space="preserve">para registrar y usar una línea telefónica móvil, la CRT hace nugatoria la LGDNNA y aniquila la política de inclusión digital universal, lo cual viola el principio de reserva de ley, </w:t>
      </w:r>
      <w:r w:rsidR="006061AF" w:rsidRPr="00A555A1">
        <w:rPr>
          <w:rFonts w:ascii="Century Gothic" w:eastAsia="Century Gothic" w:hAnsi="Century Gothic" w:cs="Century Gothic"/>
        </w:rPr>
        <w:t>resulta</w:t>
      </w:r>
      <w:r w:rsidRPr="00A555A1">
        <w:rPr>
          <w:rFonts w:ascii="Century Gothic" w:eastAsia="Century Gothic" w:hAnsi="Century Gothic" w:cs="Century Gothic"/>
        </w:rPr>
        <w:t>ndo a todas luces</w:t>
      </w:r>
      <w:r w:rsidR="006061AF" w:rsidRPr="00A555A1">
        <w:rPr>
          <w:rFonts w:ascii="Century Gothic" w:eastAsia="Century Gothic" w:hAnsi="Century Gothic" w:cs="Century Gothic"/>
        </w:rPr>
        <w:t xml:space="preserve"> inconstitucional e inconvencional, pues </w:t>
      </w:r>
      <w:r w:rsidRPr="00A555A1">
        <w:rPr>
          <w:rFonts w:ascii="Century Gothic" w:eastAsia="Century Gothic" w:hAnsi="Century Gothic" w:cs="Century Gothic"/>
        </w:rPr>
        <w:t xml:space="preserve">en lugar de protegerlos, la autoridad administrativa desconecta </w:t>
      </w:r>
      <w:r w:rsidRPr="00A555A1">
        <w:rPr>
          <w:rFonts w:ascii="Century Gothic" w:eastAsia="Century Gothic" w:hAnsi="Century Gothic" w:cs="Century Gothic"/>
          <w:i/>
          <w:iCs/>
        </w:rPr>
        <w:t>de jure</w:t>
      </w:r>
      <w:r w:rsidRPr="00A555A1">
        <w:rPr>
          <w:rFonts w:ascii="Century Gothic" w:eastAsia="Century Gothic" w:hAnsi="Century Gothic" w:cs="Century Gothic"/>
        </w:rPr>
        <w:t xml:space="preserve"> a millones de menores de edad de su principal vía de acceso a la educación, la información y el libre desarrollo de la personalidad, consumando una violación masiva y directa al Interés Superior de la Niñez.</w:t>
      </w:r>
    </w:p>
    <w:p w14:paraId="08F5EBEA" w14:textId="77777777" w:rsidR="00001DF2" w:rsidRPr="00A555A1" w:rsidRDefault="00000000">
      <w:pPr>
        <w:spacing w:line="360" w:lineRule="auto"/>
        <w:rPr>
          <w:rFonts w:ascii="Century Gothic" w:eastAsia="Century Gothic" w:hAnsi="Century Gothic" w:cs="Century Gothic"/>
          <w:b/>
          <w:bCs/>
        </w:rPr>
      </w:pPr>
      <w:r w:rsidRPr="00A555A1">
        <w:rPr>
          <w:rFonts w:ascii="Century Gothic" w:eastAsia="Century Gothic" w:hAnsi="Century Gothic" w:cs="Century Gothic"/>
          <w:b/>
          <w:bCs/>
        </w:rPr>
        <w:lastRenderedPageBreak/>
        <w:t>2. Test de proporcionalidad</w:t>
      </w:r>
    </w:p>
    <w:p w14:paraId="5D683324"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Las normas combatidas interfieren directa y gravemente con el derecho de acceso a las TIC al condicionar el acceso a la telefonía móvil a la entrega de datos personales —incluyendo datos personales sensibles como los datos biométricos— y al disponer la suspensión masiva (Desvinculación/inhabilitación) del servicio de telefonía móvil respecto de cualquier línea que no haga entrega de los datos requeridos.</w:t>
      </w:r>
    </w:p>
    <w:p w14:paraId="017EE2B2"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En este sentido, resulta procedente llevar a cabo la aplicación del test de proporcionalidad para determinar si dichas interferencias son compatibles con el parámetro de regularidad constitucional.</w:t>
      </w:r>
    </w:p>
    <w:p w14:paraId="7BCB6861"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En primer lugar, debe afirmarse que las consideraciones en torno al incumplimiento de los requisitos de idoneidad y necesidad respecto de las interferencias en el derecho a la privacidad y protección de datos personales resultan idénticamente aplicables respecto del derecho de acceso a las TIC, por lo que debe concluirse de igual manera la inconstitucionalidad de las normas combatidas.</w:t>
      </w:r>
    </w:p>
    <w:p w14:paraId="45704767" w14:textId="10C511EC"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Si bien el Tribunal Pleno de la SCJN, al resolver </w:t>
      </w:r>
      <w:r w:rsidR="001D5DC9" w:rsidRPr="00A555A1">
        <w:rPr>
          <w:rFonts w:ascii="Century Gothic" w:eastAsia="Century Gothic" w:hAnsi="Century Gothic" w:cs="Century Gothic"/>
        </w:rPr>
        <w:t>el Caso PANAUT</w:t>
      </w:r>
      <w:r w:rsidRPr="00A555A1">
        <w:rPr>
          <w:rFonts w:ascii="Century Gothic" w:eastAsia="Century Gothic" w:hAnsi="Century Gothic" w:cs="Century Gothic"/>
        </w:rPr>
        <w:t xml:space="preserve">, basó la declaratoria de invalidez del extinto PANAUT fundamentalmente en la violación a la privacidad, las consideraciones vertidas por los Ministros del Máximo Tribunal en sus </w:t>
      </w:r>
      <w:r w:rsidRPr="00A555A1">
        <w:rPr>
          <w:rFonts w:ascii="Century Gothic" w:eastAsia="Century Gothic" w:hAnsi="Century Gothic" w:cs="Century Gothic"/>
          <w:b/>
          <w:bCs/>
        </w:rPr>
        <w:t>votos concurrentes</w:t>
      </w:r>
      <w:r w:rsidRPr="00A555A1">
        <w:rPr>
          <w:rFonts w:ascii="Century Gothic" w:eastAsia="Century Gothic" w:hAnsi="Century Gothic" w:cs="Century Gothic"/>
        </w:rPr>
        <w:t xml:space="preserve"> resultan plenamente aplicables y orientadoras para demostrar la inconstitucionalidad de condicionar el servicio telefónico a la entrega de datos sensibles.</w:t>
      </w:r>
    </w:p>
    <w:p w14:paraId="7F700AAA" w14:textId="368EF5F2"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En particular, en el voto concurrente formulado por el Ministro </w:t>
      </w:r>
      <w:r w:rsidR="003E1571" w:rsidRPr="00A555A1">
        <w:rPr>
          <w:rFonts w:ascii="Century Gothic" w:eastAsia="Century Gothic" w:hAnsi="Century Gothic" w:cs="Century Gothic"/>
        </w:rPr>
        <w:t xml:space="preserve">en retiro </w:t>
      </w:r>
      <w:r w:rsidRPr="00A555A1">
        <w:rPr>
          <w:rFonts w:ascii="Century Gothic" w:eastAsia="Century Gothic" w:hAnsi="Century Gothic" w:cs="Century Gothic"/>
        </w:rPr>
        <w:t>Luis María Aguilar Morales, se evidenció que obligar a los usuarios a entregar sus datos biométricos se traduce en una condicionante restrictiva para contar con un teléfono móvil, dispositivo que en nuestro país</w:t>
      </w:r>
      <w:r w:rsidR="003E1571" w:rsidRPr="00A555A1">
        <w:rPr>
          <w:rFonts w:ascii="Century Gothic" w:eastAsia="Century Gothic" w:hAnsi="Century Gothic" w:cs="Century Gothic"/>
        </w:rPr>
        <w:t xml:space="preserve">, como quedó señalado, </w:t>
      </w:r>
      <w:r w:rsidRPr="00A555A1">
        <w:rPr>
          <w:rFonts w:ascii="Century Gothic" w:eastAsia="Century Gothic" w:hAnsi="Century Gothic" w:cs="Century Gothic"/>
        </w:rPr>
        <w:t xml:space="preserve">representa la vía principal de conexión a Internet para la inmensa mayoría de la población. Apoyándose en los </w:t>
      </w:r>
      <w:r w:rsidRPr="00A555A1">
        <w:rPr>
          <w:rFonts w:ascii="Century Gothic" w:eastAsia="Century Gothic" w:hAnsi="Century Gothic" w:cs="Century Gothic"/>
          <w:i/>
          <w:iCs/>
        </w:rPr>
        <w:t>“Estándares para una Internet libre, abierta e incluyente</w:t>
      </w:r>
      <w:r w:rsidR="003E1571" w:rsidRPr="00A555A1">
        <w:rPr>
          <w:rFonts w:ascii="Century Gothic" w:eastAsia="Century Gothic" w:hAnsi="Century Gothic" w:cs="Century Gothic"/>
          <w:i/>
          <w:iCs/>
        </w:rPr>
        <w:t xml:space="preserve">” </w:t>
      </w:r>
      <w:r w:rsidRPr="00A555A1">
        <w:rPr>
          <w:rFonts w:ascii="Century Gothic" w:eastAsia="Century Gothic" w:hAnsi="Century Gothic" w:cs="Century Gothic"/>
        </w:rPr>
        <w:t>de la CIDH</w:t>
      </w:r>
      <w:r w:rsidRPr="00A555A1">
        <w:rPr>
          <w:rFonts w:ascii="Century Gothic" w:eastAsia="Century Gothic" w:hAnsi="Century Gothic" w:cs="Century Gothic"/>
          <w:vertAlign w:val="superscript"/>
        </w:rPr>
        <w:footnoteReference w:id="130"/>
      </w:r>
      <w:r w:rsidRPr="00A555A1">
        <w:rPr>
          <w:rFonts w:ascii="Century Gothic" w:eastAsia="Century Gothic" w:hAnsi="Century Gothic" w:cs="Century Gothic"/>
        </w:rPr>
        <w:t xml:space="preserve">, se estableció que el acceso a la red constituye una condición </w:t>
      </w:r>
      <w:r w:rsidRPr="00A555A1">
        <w:rPr>
          <w:rFonts w:ascii="Century Gothic" w:eastAsia="Century Gothic" w:hAnsi="Century Gothic" w:cs="Century Gothic"/>
          <w:i/>
          <w:iCs/>
        </w:rPr>
        <w:t>sine qua non</w:t>
      </w:r>
      <w:r w:rsidRPr="00A555A1">
        <w:rPr>
          <w:rFonts w:ascii="Century Gothic" w:eastAsia="Century Gothic" w:hAnsi="Century Gothic" w:cs="Century Gothic"/>
        </w:rPr>
        <w:t xml:space="preserve"> para el ejercicio efectivo de los derechos humanos, por lo que cancelar el servicio telefónico por proteger la privacidad restringe seriamente las posibilidades de acceder a información plural y oportuna, incrementando la vulnerabilidad y la desigualdad social.</w:t>
      </w:r>
    </w:p>
    <w:p w14:paraId="08560A35"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lastRenderedPageBreak/>
        <w:t>Aunado a ello, como se advirtió en el voto concurrente del entonces Ministro Presidente Arturo Zaldívar Lelo de Larrea, existe una relación indisoluble entre la privacidad y la libertad de expresión. La privacidad y el anonimato son condiciones necesarias para la materialización de la comunicación de las ideas, por lo que exigir la identidad biológica y el rostro del usuario genera un ambiente de vigilancia que amedrenta el libre ejercicio de la crítica, constituyendo una forma de censura indirecta y un efecto disuasorio (</w:t>
      </w:r>
      <w:r w:rsidRPr="00A555A1">
        <w:rPr>
          <w:rFonts w:ascii="Century Gothic" w:eastAsia="Century Gothic" w:hAnsi="Century Gothic" w:cs="Century Gothic"/>
          <w:i/>
          <w:iCs/>
        </w:rPr>
        <w:t>chilling effect</w:t>
      </w:r>
      <w:r w:rsidRPr="00A555A1">
        <w:rPr>
          <w:rFonts w:ascii="Century Gothic" w:eastAsia="Century Gothic" w:hAnsi="Century Gothic" w:cs="Century Gothic"/>
        </w:rPr>
        <w:t>) estrictamente prohibido por el artículo 7º de la Constitución Federal.</w:t>
      </w:r>
    </w:p>
    <w:p w14:paraId="67D23CD6" w14:textId="43C7B15A"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Por lo tanto, ponderativamente no resulta válido ni proporcional que el particular deba renunciar a su derecho humano a la privacidad e intimidad a fin de habilitar su diverso derecho de acceso a las TIC, pues ello vulnera frontalmente el </w:t>
      </w:r>
      <w:r w:rsidRPr="00A555A1">
        <w:rPr>
          <w:rFonts w:ascii="Century Gothic" w:eastAsia="Century Gothic" w:hAnsi="Century Gothic" w:cs="Century Gothic"/>
          <w:b/>
          <w:bCs/>
        </w:rPr>
        <w:t>principio de interdependencia de los derechos humanos</w:t>
      </w:r>
      <w:r w:rsidRPr="00A555A1">
        <w:rPr>
          <w:rFonts w:ascii="Century Gothic" w:eastAsia="Century Gothic" w:hAnsi="Century Gothic" w:cs="Century Gothic"/>
        </w:rPr>
        <w:t xml:space="preserve">. De acuerdo con el reciente criterio establecido por el Tribunal Pleno de la </w:t>
      </w:r>
      <w:r w:rsidR="00D5506A" w:rsidRPr="00A555A1">
        <w:rPr>
          <w:rFonts w:ascii="Century Gothic" w:eastAsia="Century Gothic" w:hAnsi="Century Gothic" w:cs="Century Gothic"/>
        </w:rPr>
        <w:t>SCJN</w:t>
      </w:r>
      <w:r w:rsidRPr="00A555A1">
        <w:rPr>
          <w:rFonts w:ascii="Century Gothic" w:eastAsia="Century Gothic" w:hAnsi="Century Gothic" w:cs="Century Gothic"/>
        </w:rPr>
        <w:t xml:space="preserve"> en materia de derechos civiles y políticos </w:t>
      </w:r>
      <w:r w:rsidRPr="00A555A1">
        <w:rPr>
          <w:rFonts w:ascii="Century Gothic" w:eastAsia="Century Gothic" w:hAnsi="Century Gothic" w:cs="Century Gothic"/>
          <w:b/>
          <w:bCs/>
        </w:rPr>
        <w:t>(Registro digital: 2032259)</w:t>
      </w:r>
      <w:r w:rsidRPr="00A555A1">
        <w:rPr>
          <w:rFonts w:ascii="Century Gothic" w:eastAsia="Century Gothic" w:hAnsi="Century Gothic" w:cs="Century Gothic"/>
        </w:rPr>
        <w:t>, las prerrogativas fundamentales no operan de forma aislada, sino como eslabones de una misma cadena normativa que funcionan de manera integrada dentro de un “</w:t>
      </w:r>
      <w:r w:rsidRPr="00A555A1">
        <w:rPr>
          <w:rFonts w:ascii="Century Gothic" w:eastAsia="Century Gothic" w:hAnsi="Century Gothic" w:cs="Century Gothic"/>
          <w:i/>
          <w:iCs/>
        </w:rPr>
        <w:t>ecosistema de libertades”</w:t>
      </w:r>
      <w:r w:rsidRPr="00A555A1">
        <w:rPr>
          <w:rFonts w:ascii="Century Gothic" w:eastAsia="Century Gothic" w:hAnsi="Century Gothic" w:cs="Century Gothic"/>
        </w:rPr>
        <w:t>, el cual está orientado a sostener la deliberación pública, el debate abierto y la exigencia de rendición de cuentas frente al poder.</w:t>
      </w:r>
    </w:p>
    <w:p w14:paraId="0774D6AE"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En la era actual, la materialización indispensable de este ecosistema democrático y de la plaza pública tiene lugar en el acceso a las TIC, los cuales cumplen una función instrumental ineludible para el ejercicio de estas libertades. Por consiguiente, el condicionamiento impuesto constituye una </w:t>
      </w:r>
      <w:r w:rsidRPr="00A555A1">
        <w:rPr>
          <w:rFonts w:ascii="Century Gothic" w:eastAsia="Century Gothic" w:hAnsi="Century Gothic" w:cs="Century Gothic"/>
          <w:b/>
          <w:bCs/>
        </w:rPr>
        <w:t>coacción inconstitucional en la que el Estado castiga con la desconexión ciudadana a quien se niega a someter su intimidad y biometría al escrutinio público y privado</w:t>
      </w:r>
      <w:r w:rsidRPr="00A555A1">
        <w:rPr>
          <w:rFonts w:ascii="Century Gothic" w:eastAsia="Century Gothic" w:hAnsi="Century Gothic" w:cs="Century Gothic"/>
        </w:rPr>
        <w:t>.</w:t>
      </w:r>
    </w:p>
    <w:p w14:paraId="285C8B22"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Dicha desconexión forzosa no implica únicamente la privación arbitraria de un servicio, sino que impone una barrera insalvable y un destierro absoluto del espacio público digital para la quejosa, incidiendo de manera indirecta pero de manera demoledora en toda la arquitectura de derechos civiles y políticos —como la libre asociación, la protesta pacífica y la libertad de expresión en la era digital— que hace posible el modelo democrático constitucional.</w:t>
      </w:r>
    </w:p>
    <w:p w14:paraId="48714B33" w14:textId="083E0965" w:rsidR="006A01DE" w:rsidRPr="00A555A1" w:rsidRDefault="006A01DE">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Aunado a lo anterior, la medida reprueba flagrantemente el test de proporcionalidad estricta al ignorar por completo el </w:t>
      </w:r>
      <w:r w:rsidRPr="00A555A1">
        <w:rPr>
          <w:rFonts w:ascii="Century Gothic" w:eastAsia="Century Gothic" w:hAnsi="Century Gothic" w:cs="Century Gothic"/>
          <w:b/>
          <w:bCs/>
        </w:rPr>
        <w:t xml:space="preserve">Interés Superior de la </w:t>
      </w:r>
      <w:r w:rsidRPr="00A555A1">
        <w:rPr>
          <w:rFonts w:ascii="Century Gothic" w:eastAsia="Century Gothic" w:hAnsi="Century Gothic" w:cs="Century Gothic"/>
          <w:b/>
          <w:bCs/>
        </w:rPr>
        <w:lastRenderedPageBreak/>
        <w:t>Niñez</w:t>
      </w:r>
      <w:r w:rsidR="002818E2" w:rsidRPr="00A555A1">
        <w:rPr>
          <w:rFonts w:ascii="Century Gothic" w:eastAsia="Century Gothic" w:hAnsi="Century Gothic" w:cs="Century Gothic"/>
        </w:rPr>
        <w:t>, toda vez que e</w:t>
      </w:r>
      <w:r w:rsidRPr="00A555A1">
        <w:rPr>
          <w:rFonts w:ascii="Century Gothic" w:eastAsia="Century Gothic" w:hAnsi="Century Gothic" w:cs="Century Gothic"/>
        </w:rPr>
        <w:t xml:space="preserve">l Estado Mexicano, bajo la excusa administrativa del combate a la extorsión, ha decidido </w:t>
      </w:r>
      <w:r w:rsidR="002818E2" w:rsidRPr="00A555A1">
        <w:rPr>
          <w:rFonts w:ascii="Century Gothic" w:eastAsia="Century Gothic" w:hAnsi="Century Gothic" w:cs="Century Gothic"/>
        </w:rPr>
        <w:t>mutilar</w:t>
      </w:r>
      <w:r w:rsidRPr="00A555A1">
        <w:rPr>
          <w:rFonts w:ascii="Century Gothic" w:eastAsia="Century Gothic" w:hAnsi="Century Gothic" w:cs="Century Gothic"/>
        </w:rPr>
        <w:t xml:space="preserve"> el acceso directo de millones de menores de edad a su derecho a la educación, a la información y al esparcimiento a través de Internet al prohibirles ser usuarios de una línea telefónica</w:t>
      </w:r>
      <w:r w:rsidR="002818E2" w:rsidRPr="00A555A1">
        <w:rPr>
          <w:rFonts w:ascii="Century Gothic" w:eastAsia="Century Gothic" w:hAnsi="Century Gothic" w:cs="Century Gothic"/>
        </w:rPr>
        <w:t>, por lo que c</w:t>
      </w:r>
      <w:r w:rsidRPr="00A555A1">
        <w:rPr>
          <w:rFonts w:ascii="Century Gothic" w:eastAsia="Century Gothic" w:hAnsi="Century Gothic" w:cs="Century Gothic"/>
        </w:rPr>
        <w:t>ondicionar el acceso a las telecomunicaciones a la mayoría de edad es una medida radicalmente desproporcionada, pues en lugar de salvaguardar el entorno digital de las niñas, niños y adolescentes a través de políticas de inclusión como exige la LGDNNA, opta por la salida más lesiva</w:t>
      </w:r>
      <w:r w:rsidR="002818E2" w:rsidRPr="00A555A1">
        <w:rPr>
          <w:rFonts w:ascii="Century Gothic" w:eastAsia="Century Gothic" w:hAnsi="Century Gothic" w:cs="Century Gothic"/>
        </w:rPr>
        <w:t>, consistente</w:t>
      </w:r>
      <w:r w:rsidRPr="00A555A1">
        <w:rPr>
          <w:rFonts w:ascii="Century Gothic" w:eastAsia="Century Gothic" w:hAnsi="Century Gothic" w:cs="Century Gothic"/>
        </w:rPr>
        <w:t xml:space="preserve"> </w:t>
      </w:r>
      <w:r w:rsidR="00C73ABC">
        <w:rPr>
          <w:rFonts w:ascii="Century Gothic" w:eastAsia="Century Gothic" w:hAnsi="Century Gothic" w:cs="Century Gothic"/>
        </w:rPr>
        <w:t xml:space="preserve">en </w:t>
      </w:r>
      <w:r w:rsidRPr="00A555A1">
        <w:rPr>
          <w:rFonts w:ascii="Century Gothic" w:eastAsia="Century Gothic" w:hAnsi="Century Gothic" w:cs="Century Gothic"/>
        </w:rPr>
        <w:t>el destierro y la desconexión total de los menores de edad del ecosistema digital.</w:t>
      </w:r>
    </w:p>
    <w:p w14:paraId="01525A7E" w14:textId="299EB890"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Así, dada la ausencia absoluta o significativa de contribución al fin perseguido por las medidas contempladas en las normas combatidas, derivada de la manifiesta falta de evidencia de que la imposición coactiva de requisitos de identidad y biometría para la adquisición y uso de tarjetas SIM </w:t>
      </w:r>
      <w:r w:rsidR="00D5506A" w:rsidRPr="00A555A1">
        <w:rPr>
          <w:rFonts w:ascii="Century Gothic" w:eastAsia="Century Gothic" w:hAnsi="Century Gothic" w:cs="Century Gothic"/>
        </w:rPr>
        <w:t xml:space="preserve">o eSIM </w:t>
      </w:r>
      <w:r w:rsidRPr="00A555A1">
        <w:rPr>
          <w:rFonts w:ascii="Century Gothic" w:eastAsia="Century Gothic" w:hAnsi="Century Gothic" w:cs="Century Gothic"/>
        </w:rPr>
        <w:t xml:space="preserve">contribuya a la reducción de índices delictivos. Aunado a la imposibilidad lógica y material de presumir que la persona registrada y vinculada en las Plataformas de Gestión —impuestas por el artículo 103 de la LMTR y los Lineamientos de la CRT— es la verdadera responsable de una comunicación delictiva; y dado que la realidad demuestra que existen múltiples maneras en las que este registro puede eludirse, tales como el imparable mercado negro de chips, las excepciones al </w:t>
      </w:r>
      <w:r w:rsidRPr="00A555A1">
        <w:rPr>
          <w:rFonts w:ascii="Century Gothic" w:eastAsia="Century Gothic" w:hAnsi="Century Gothic" w:cs="Century Gothic"/>
          <w:i/>
          <w:iCs/>
        </w:rPr>
        <w:t>Roaming</w:t>
      </w:r>
      <w:r w:rsidRPr="00A555A1">
        <w:rPr>
          <w:rFonts w:ascii="Century Gothic" w:eastAsia="Century Gothic" w:hAnsi="Century Gothic" w:cs="Century Gothic"/>
        </w:rPr>
        <w:t xml:space="preserve"> internacional y la suplantación de identidad a través de empresas fachada, como fue ampliamente desarrollado en el </w:t>
      </w:r>
      <w:r w:rsidRPr="00A555A1">
        <w:rPr>
          <w:rFonts w:ascii="Century Gothic" w:eastAsia="Century Gothic" w:hAnsi="Century Gothic" w:cs="Century Gothic"/>
          <w:b/>
          <w:bCs/>
        </w:rPr>
        <w:t>concepto de violación primero</w:t>
      </w:r>
      <w:r w:rsidRPr="00A555A1">
        <w:rPr>
          <w:rFonts w:ascii="Century Gothic" w:eastAsia="Century Gothic" w:hAnsi="Century Gothic" w:cs="Century Gothic"/>
        </w:rPr>
        <w:t>.</w:t>
      </w:r>
    </w:p>
    <w:p w14:paraId="4F663DA8" w14:textId="491B2B2D"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A la luz de lo anterior, es claro que las </w:t>
      </w:r>
      <w:r w:rsidRPr="00A555A1">
        <w:rPr>
          <w:rFonts w:ascii="Century Gothic" w:eastAsia="Century Gothic" w:hAnsi="Century Gothic" w:cs="Century Gothic"/>
          <w:b/>
          <w:bCs/>
        </w:rPr>
        <w:t>restricciones absolutas al derecho humano de acceso a las TIC y al Internet</w:t>
      </w:r>
      <w:r w:rsidRPr="00A555A1">
        <w:rPr>
          <w:rFonts w:ascii="Century Gothic" w:eastAsia="Century Gothic" w:hAnsi="Century Gothic" w:cs="Century Gothic"/>
        </w:rPr>
        <w:t>, así como el efecto discriminatorio y de exclusión del espacio público digital que suponen las normas combatidas, resultan ser injerencias y costos significativamente mayores y devastadores frente a los ausentes o ínfimos beneficios para la seguridad pública. Ponderativamente, no resulta válido ni constitucional que la quejosa deba ceder coactivamente su derecho a la privacidad e intimidad biométrica a fin de habilitar su diverso derecho de acceso a las TIC, pues ello es contrario al principio de interdependencia de los derechos humanos, mediante el cual no puede condicionarse el goce de uno a que se sacrifique otro.</w:t>
      </w:r>
    </w:p>
    <w:p w14:paraId="2058447B"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Por todo lo expuesto, debe reconocerse el franco incumplimiento del requisito de proporcionalidad en estricto sentido y considerar </w:t>
      </w:r>
      <w:r w:rsidRPr="00A555A1">
        <w:rPr>
          <w:rFonts w:ascii="Century Gothic" w:eastAsia="Century Gothic" w:hAnsi="Century Gothic" w:cs="Century Gothic"/>
        </w:rPr>
        <w:lastRenderedPageBreak/>
        <w:t>inconstitucionales las normas combatidas al ser violatorias de los artículos 1o., 6o., 7o., 14 y 16 de la CPEUM; 1.1, 11, 13 y 24 de la CADH; y 2, 17, 19 y 26 del PIDCP.</w:t>
      </w:r>
    </w:p>
    <w:p w14:paraId="7547D794" w14:textId="77777777" w:rsidR="00001DF2" w:rsidRPr="00A555A1" w:rsidRDefault="00001DF2">
      <w:pPr>
        <w:spacing w:line="360" w:lineRule="auto"/>
        <w:jc w:val="both"/>
        <w:rPr>
          <w:rFonts w:ascii="Century Gothic" w:eastAsia="Century Gothic" w:hAnsi="Century Gothic" w:cs="Century Gothic"/>
        </w:rPr>
      </w:pPr>
    </w:p>
    <w:p w14:paraId="6026521C" w14:textId="77777777" w:rsidR="00001DF2" w:rsidRPr="00A555A1" w:rsidRDefault="00000000">
      <w:pPr>
        <w:spacing w:line="360" w:lineRule="auto"/>
        <w:jc w:val="both"/>
        <w:rPr>
          <w:rFonts w:ascii="Century Gothic" w:eastAsia="Century Gothic" w:hAnsi="Century Gothic" w:cs="Century Gothic"/>
        </w:rPr>
      </w:pPr>
      <w:r w:rsidRPr="00A555A1">
        <w:rPr>
          <w:rFonts w:ascii="Century Gothic" w:eastAsia="Century Gothic" w:hAnsi="Century Gothic" w:cs="Century Gothic"/>
          <w:b/>
          <w:bCs/>
        </w:rPr>
        <w:t>TERCERO.- LA OPERACIÓN DE LAS PLATAFORMAS DE REGISTRO DE LÍNEAS TELEFÓNICAS, ASÍ COMO SU GESTIÓN IMPUESTAS POR LA LMTR Y LOS LINEAMIENTOS DE LA CRT PRODUCE UN EFECTO INHIBIDOR EN EL EJERCICIO DEL DERECHO A LA LIBERTAD DE EXPRESIÓN Y A LA PROTESTA SOCIAL, Y COMPROMETE EL DERECHO DE EXPRESIÓN ANÓNIMA VULNERANDO LOS ARTÍCULOS 6, 7 Y 9 DE LA CPEUM, 13 Y 15 DE LA CADH Y 19 Y 21 DEL PIDCP.</w:t>
      </w:r>
    </w:p>
    <w:p w14:paraId="3928D410"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Las normas combatidas (artículo 103 de la LMTR y los Lineamientos de la CRT), al establecer a través de las Plataformas de Gestión una base de datos que pretende vincular, de manera indiscriminada, toda línea de telefonía móvil a la identidad y biometría de una persona y permitir el acceso a dicha base por parte de autoridades, sin establecer salvaguardas adecuadas, además de vulnerar el derecho a la privacidad y protección de datos personales, repercute directa y negativamente en el derecho a la libertad de expresión, asociación y reunión al producir un efecto inhibidor en el ejercicio de estos derechos y amenazar el derecho de expresión anónima de manera violatoria de los artículos 6, 7 y 9 de la CPEUM, 13 y 15 de la CADH y 19 y 21 del PIDCP, como a continuación se desarrolla:</w:t>
      </w:r>
    </w:p>
    <w:p w14:paraId="6E5C461F" w14:textId="77777777" w:rsidR="00001DF2" w:rsidRPr="00A555A1" w:rsidRDefault="00000000">
      <w:pPr>
        <w:pBdr>
          <w:top w:val="nil"/>
          <w:left w:val="nil"/>
          <w:bottom w:val="nil"/>
          <w:right w:val="nil"/>
          <w:between w:val="nil"/>
        </w:pBdr>
        <w:tabs>
          <w:tab w:val="left" w:pos="426"/>
        </w:tabs>
        <w:spacing w:line="360" w:lineRule="auto"/>
        <w:jc w:val="center"/>
        <w:rPr>
          <w:rFonts w:ascii="Century Gothic" w:eastAsia="Century Gothic" w:hAnsi="Century Gothic" w:cs="Century Gothic"/>
          <w:b/>
          <w:bCs/>
          <w:color w:val="000000"/>
        </w:rPr>
      </w:pPr>
      <w:r w:rsidRPr="00A555A1">
        <w:rPr>
          <w:rFonts w:ascii="Century Gothic" w:eastAsia="Century Gothic" w:hAnsi="Century Gothic" w:cs="Century Gothic"/>
          <w:b/>
          <w:bCs/>
          <w:color w:val="000000"/>
        </w:rPr>
        <w:t>A. CONTENIDO Y ALCANCE DE LAS LIBERTADES DE EXPRESIÓN Y REUNIÓN PACÍFICA EN EL MARCO CONSTITUCIONAL Y CONVENCIONAL</w:t>
      </w:r>
    </w:p>
    <w:p w14:paraId="64FB0B12"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Previo a evidenciar la afectación, es fundamental delimitar el parámetro normativo de los derechos en juego. La libertad de expresión se encuentra reconocida expresamente en los artículos 6º y 7º de la CPEUM</w:t>
      </w:r>
      <w:r w:rsidRPr="00A555A1">
        <w:rPr>
          <w:rFonts w:ascii="Century Gothic" w:eastAsia="Century Gothic" w:hAnsi="Century Gothic" w:cs="Century Gothic"/>
          <w:vertAlign w:val="superscript"/>
        </w:rPr>
        <w:footnoteReference w:id="131"/>
      </w:r>
      <w:r w:rsidRPr="00A555A1">
        <w:rPr>
          <w:rFonts w:ascii="Century Gothic" w:eastAsia="Century Gothic" w:hAnsi="Century Gothic" w:cs="Century Gothic"/>
        </w:rPr>
        <w:t xml:space="preserve">, los cuales garantizan la libre manifestación de las ideas, el derecho a la </w:t>
      </w:r>
      <w:r w:rsidRPr="00A555A1">
        <w:rPr>
          <w:rFonts w:ascii="Century Gothic" w:eastAsia="Century Gothic" w:hAnsi="Century Gothic" w:cs="Century Gothic"/>
        </w:rPr>
        <w:lastRenderedPageBreak/>
        <w:t>información y proscriben categóricamente la censura previa, en total congruencia con lo dispuesto a nivel internacional por el artículo 13 de la CADH</w:t>
      </w:r>
      <w:r w:rsidRPr="00A555A1">
        <w:rPr>
          <w:rFonts w:ascii="Century Gothic" w:eastAsia="Century Gothic" w:hAnsi="Century Gothic" w:cs="Century Gothic"/>
          <w:vertAlign w:val="superscript"/>
        </w:rPr>
        <w:footnoteReference w:id="132"/>
      </w:r>
      <w:r w:rsidRPr="00A555A1">
        <w:rPr>
          <w:rFonts w:ascii="Century Gothic" w:eastAsia="Century Gothic" w:hAnsi="Century Gothic" w:cs="Century Gothic"/>
        </w:rPr>
        <w:t xml:space="preserve"> y el artículo 19 del PIDCP</w:t>
      </w:r>
      <w:r w:rsidRPr="00A555A1">
        <w:rPr>
          <w:rFonts w:ascii="Century Gothic" w:eastAsia="Century Gothic" w:hAnsi="Century Gothic" w:cs="Century Gothic"/>
          <w:vertAlign w:val="superscript"/>
        </w:rPr>
        <w:footnoteReference w:id="133"/>
      </w:r>
      <w:r w:rsidRPr="00A555A1">
        <w:rPr>
          <w:rFonts w:ascii="Century Gothic" w:eastAsia="Century Gothic" w:hAnsi="Century Gothic" w:cs="Century Gothic"/>
        </w:rPr>
        <w:t>.</w:t>
      </w:r>
    </w:p>
    <w:p w14:paraId="0DE49C77"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Por su parte, la libertad de reunión pacífica —que constituye la base insustituible de la protesta social— se garantiza en el artículo 9º</w:t>
      </w:r>
      <w:r w:rsidRPr="00A555A1">
        <w:rPr>
          <w:rFonts w:ascii="Century Gothic" w:eastAsia="Century Gothic" w:hAnsi="Century Gothic" w:cs="Century Gothic"/>
          <w:vertAlign w:val="superscript"/>
        </w:rPr>
        <w:footnoteReference w:id="134"/>
      </w:r>
      <w:r w:rsidRPr="00A555A1">
        <w:rPr>
          <w:rFonts w:ascii="Century Gothic" w:eastAsia="Century Gothic" w:hAnsi="Century Gothic" w:cs="Century Gothic"/>
        </w:rPr>
        <w:t xml:space="preserve"> constitucional, encontrando su correlato convencional en el artículo 15</w:t>
      </w:r>
      <w:r w:rsidRPr="00A555A1">
        <w:rPr>
          <w:rFonts w:ascii="Century Gothic" w:eastAsia="Century Gothic" w:hAnsi="Century Gothic" w:cs="Century Gothic"/>
          <w:vertAlign w:val="superscript"/>
        </w:rPr>
        <w:footnoteReference w:id="135"/>
      </w:r>
      <w:r w:rsidRPr="00A555A1">
        <w:rPr>
          <w:rFonts w:ascii="Century Gothic" w:eastAsia="Century Gothic" w:hAnsi="Century Gothic" w:cs="Century Gothic"/>
        </w:rPr>
        <w:t xml:space="preserve"> de la CADH y en el artículo 21 del PIDCP</w:t>
      </w:r>
      <w:r w:rsidRPr="00A555A1">
        <w:rPr>
          <w:rFonts w:ascii="Century Gothic" w:eastAsia="Century Gothic" w:hAnsi="Century Gothic" w:cs="Century Gothic"/>
          <w:vertAlign w:val="superscript"/>
        </w:rPr>
        <w:footnoteReference w:id="136"/>
      </w:r>
      <w:r w:rsidRPr="00A555A1">
        <w:rPr>
          <w:rFonts w:ascii="Century Gothic" w:eastAsia="Century Gothic" w:hAnsi="Century Gothic" w:cs="Century Gothic"/>
        </w:rPr>
        <w:t>.</w:t>
      </w:r>
    </w:p>
    <w:p w14:paraId="16533C6D"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Como lo ha precisado nuestro Máximo Tribunal</w:t>
      </w:r>
      <w:r w:rsidRPr="00A555A1">
        <w:rPr>
          <w:rFonts w:ascii="Century Gothic" w:eastAsia="Century Gothic" w:hAnsi="Century Gothic" w:cs="Century Gothic"/>
          <w:vertAlign w:val="superscript"/>
        </w:rPr>
        <w:footnoteReference w:id="137"/>
      </w:r>
      <w:r w:rsidRPr="00A555A1">
        <w:rPr>
          <w:rFonts w:ascii="Century Gothic" w:eastAsia="Century Gothic" w:hAnsi="Century Gothic" w:cs="Century Gothic"/>
        </w:rPr>
        <w:t>, estas prerrogativas no operan de forma aislada, sino que cumplen una función democrática complementaria indispensable para la formación de la opinión pública y el funcionamiento del pluralismo político.</w:t>
      </w:r>
    </w:p>
    <w:p w14:paraId="1241E81C"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Por ello, el ejercicio de las libertades de expresión y reunión goza de una presunción constitucional de licitud que impide al Estado someterlas a formas directas o indirectas de censura previa, vigilancia injustificada o medidas que produzcan un efecto amedrentador frente al escrutinio ciudadano.</w:t>
      </w:r>
    </w:p>
    <w:p w14:paraId="05722ABB" w14:textId="784FDE59"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La libertad de las personas de formarse una opinión y expresar sus ideas, así como buscar y recibir información, requiere espacios de intimidad y anonimato, libres de amedrentamiento y de represalias </w:t>
      </w:r>
      <w:r w:rsidR="00D5506A" w:rsidRPr="00A555A1">
        <w:rPr>
          <w:rFonts w:ascii="Century Gothic" w:eastAsia="Century Gothic" w:hAnsi="Century Gothic" w:cs="Century Gothic"/>
        </w:rPr>
        <w:t>derivadas de exigencias de identificación o de revelación de sus creencias, convicciones y fuentes de consulta.</w:t>
      </w:r>
      <w:r w:rsidRPr="00A555A1">
        <w:rPr>
          <w:rFonts w:ascii="Century Gothic" w:eastAsia="Century Gothic" w:hAnsi="Century Gothic" w:cs="Century Gothic"/>
        </w:rPr>
        <w:t xml:space="preserve"> </w:t>
      </w:r>
      <w:r w:rsidR="00D5506A" w:rsidRPr="00A555A1">
        <w:rPr>
          <w:rFonts w:ascii="Century Gothic" w:eastAsia="Century Gothic" w:hAnsi="Century Gothic" w:cs="Century Gothic"/>
        </w:rPr>
        <w:t xml:space="preserve">n efecto, organismos y tribunales internacionales de </w:t>
      </w:r>
      <w:r w:rsidR="00D5506A" w:rsidRPr="00A555A1">
        <w:rPr>
          <w:rFonts w:ascii="Century Gothic" w:eastAsia="Century Gothic" w:hAnsi="Century Gothic" w:cs="Century Gothic"/>
        </w:rPr>
        <w:lastRenderedPageBreak/>
        <w:t>derechos humanos han sostenido de manera reiterada que el derecho a la privacidad y el derecho a la libertad de expresión se encuentran estrechamente vinculados; de esa relación indisoluble se desprende, como manifestación concreta, el derecho a la expresión anónima</w:t>
      </w:r>
      <w:r w:rsidR="00D5506A" w:rsidRPr="00A555A1">
        <w:rPr>
          <w:rFonts w:ascii="Century Gothic" w:eastAsia="Century Gothic" w:hAnsi="Century Gothic" w:cs="Century Gothic"/>
          <w:vertAlign w:val="superscript"/>
        </w:rPr>
        <w:footnoteReference w:id="138"/>
      </w:r>
      <w:r w:rsidR="00D5506A" w:rsidRPr="00A555A1">
        <w:rPr>
          <w:rFonts w:ascii="Century Gothic" w:eastAsia="Century Gothic" w:hAnsi="Century Gothic" w:cs="Century Gothic"/>
        </w:rPr>
        <w:t>, cuya protección resulta indispensable para garantizar un debate público auténtico y plural, así como para preservar la autonomía individual frente a injerencias indebidas del poder.</w:t>
      </w:r>
    </w:p>
    <w:p w14:paraId="07DDF006" w14:textId="2A7CB464"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El anonimato y la expresión anónima han jugado un papel fundamental en la historia de la humanidad</w:t>
      </w:r>
      <w:r w:rsidRPr="00A555A1">
        <w:rPr>
          <w:rFonts w:ascii="Century Gothic" w:eastAsia="Century Gothic" w:hAnsi="Century Gothic" w:cs="Century Gothic"/>
          <w:vertAlign w:val="superscript"/>
        </w:rPr>
        <w:footnoteReference w:id="139"/>
      </w:r>
      <w:r w:rsidRPr="00A555A1">
        <w:rPr>
          <w:rFonts w:ascii="Century Gothic" w:eastAsia="Century Gothic" w:hAnsi="Century Gothic" w:cs="Century Gothic"/>
        </w:rPr>
        <w:t xml:space="preserve">, en tanto </w:t>
      </w:r>
      <w:r w:rsidR="00D5506A" w:rsidRPr="00A555A1">
        <w:rPr>
          <w:rFonts w:ascii="Century Gothic" w:eastAsia="Century Gothic" w:hAnsi="Century Gothic" w:cs="Century Gothic"/>
        </w:rPr>
        <w:t>les</w:t>
      </w:r>
      <w:r w:rsidRPr="00A555A1">
        <w:rPr>
          <w:rFonts w:ascii="Century Gothic" w:eastAsia="Century Gothic" w:hAnsi="Century Gothic" w:cs="Century Gothic"/>
        </w:rPr>
        <w:t xml:space="preserve"> han ofrecido a las personas una protección indispensable frente a posibles represalias del Estado, sus empleadores y otros integrantes de la sociedad, al difundir, recibir o buscar información, por ejemplo, que revela abusos de poder, denuncia injusticias o que podría poner en riesgo la vida o integridad física de fuentes periodísticas o de personas defensoras de derechos humanos. Es por ello que la Suprema Corte de los Estados Unidos ha reconocido, en el caso McIntyre v. Ohio Elections Comm'n</w:t>
      </w:r>
      <w:r w:rsidRPr="00A555A1">
        <w:rPr>
          <w:rFonts w:ascii="Century Gothic" w:eastAsia="Century Gothic" w:hAnsi="Century Gothic" w:cs="Century Gothic"/>
          <w:vertAlign w:val="superscript"/>
        </w:rPr>
        <w:footnoteReference w:id="140"/>
      </w:r>
      <w:r w:rsidRPr="00A555A1">
        <w:rPr>
          <w:rFonts w:ascii="Century Gothic" w:eastAsia="Century Gothic" w:hAnsi="Century Gothic" w:cs="Century Gothic"/>
        </w:rPr>
        <w:t>, que el anonimato “constituye una tradición honorable de activismo y disenso” que representa además “un escudo frente a la tiranía de la mayoría”.</w:t>
      </w:r>
    </w:p>
    <w:p w14:paraId="684DD079" w14:textId="351E400C"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De manera por demás trascendente en el ámbito nacional, tal y como lo precisaron los Ministros en retiro Arturo Zaldívar Lelo de Larrea y Luis María Aguilar Morales en sus votos concurrentes al resolver el </w:t>
      </w:r>
      <w:r w:rsidR="00FB6CD4" w:rsidRPr="00A555A1">
        <w:rPr>
          <w:rFonts w:ascii="Century Gothic" w:eastAsia="Century Gothic" w:hAnsi="Century Gothic" w:cs="Century Gothic"/>
        </w:rPr>
        <w:t>C</w:t>
      </w:r>
      <w:r w:rsidRPr="00A555A1">
        <w:rPr>
          <w:rFonts w:ascii="Century Gothic" w:eastAsia="Century Gothic" w:hAnsi="Century Gothic" w:cs="Century Gothic"/>
        </w:rPr>
        <w:t xml:space="preserve">aso PANAUT, la privacidad y el anonimato son condiciones necesarias para la materialización de la comunicación de las ideas, por lo que obligar a los ciudadanos a asociar su identidad biológica a su vía de comunicación anula el anonimato y genera una medida de vigilancia que amedrenta el ejercicio </w:t>
      </w:r>
      <w:r w:rsidRPr="00A555A1">
        <w:rPr>
          <w:rFonts w:ascii="Century Gothic" w:eastAsia="Century Gothic" w:hAnsi="Century Gothic" w:cs="Century Gothic"/>
        </w:rPr>
        <w:lastRenderedPageBreak/>
        <w:t>de la crítica, constituyendo una censura previa e indirecta que debilita el orden democrático.</w:t>
      </w:r>
    </w:p>
    <w:p w14:paraId="0C4397F0"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A su vez, este derecho a la expresión anónima cobra hoy especial relevancia como herramienta habilitadora del derecho a la protesta social pacífica, pues de acuerdo con el reciente criterio del Tribunal Pleno de la SCJN al resolver la Acción de Inconstitucionalidad 55/2024 (registro digital: 34055), la protesta social no constituye un fenómeno independiente, sino que mantiene una relación de interdependencia con las libertades de expresión, reunión e información, conformando un verdadero </w:t>
      </w:r>
      <w:r w:rsidRPr="00A555A1">
        <w:rPr>
          <w:rFonts w:ascii="Century Gothic" w:eastAsia="Century Gothic" w:hAnsi="Century Gothic" w:cs="Century Gothic"/>
          <w:i/>
          <w:iCs/>
        </w:rPr>
        <w:t>"ecosistema de libertades"</w:t>
      </w:r>
      <w:r w:rsidRPr="00A555A1">
        <w:rPr>
          <w:rFonts w:ascii="Century Gothic" w:eastAsia="Century Gothic" w:hAnsi="Century Gothic" w:cs="Century Gothic"/>
        </w:rPr>
        <w:t xml:space="preserve"> y una </w:t>
      </w:r>
      <w:r w:rsidRPr="00A555A1">
        <w:rPr>
          <w:rFonts w:ascii="Century Gothic" w:eastAsia="Century Gothic" w:hAnsi="Century Gothic" w:cs="Century Gothic"/>
          <w:i/>
          <w:iCs/>
        </w:rPr>
        <w:t>"arquitectura de derechos"</w:t>
      </w:r>
      <w:r w:rsidRPr="00A555A1">
        <w:rPr>
          <w:rFonts w:ascii="Century Gothic" w:eastAsia="Century Gothic" w:hAnsi="Century Gothic" w:cs="Century Gothic"/>
        </w:rPr>
        <w:t xml:space="preserve"> que hace posible la deliberación pública y la exigencia de rendición de cuentas frente al poder. De esta manera, en la era digital, exigir de manera coactiva la sustracción y el análisis de biometría (prueba de vida) para acceder a las TIC dinamita esta arquitectura constitucional, pues excluye y destierra a la quejosa de la plaza pública digital, impidiendo el ejercicio de este entramado interdependiente de derechos.</w:t>
      </w:r>
    </w:p>
    <w:p w14:paraId="2CA7ED5E" w14:textId="733F241D" w:rsidR="00272B60" w:rsidRPr="00A555A1" w:rsidRDefault="00272B6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En concreto, se ha resaltado que aquellas medidas que produzcan un efecto generalizado e indiscriminado de amenaza al anonimato resultan incompatibles con el principio de proporcionalidad</w:t>
      </w:r>
      <w:r w:rsidRPr="00A555A1">
        <w:rPr>
          <w:rFonts w:ascii="Century Gothic" w:eastAsia="Century Gothic" w:hAnsi="Century Gothic" w:cs="Century Gothic"/>
          <w:vertAlign w:val="superscript"/>
        </w:rPr>
        <w:footnoteReference w:id="141"/>
      </w:r>
      <w:r w:rsidRPr="00A555A1">
        <w:rPr>
          <w:rFonts w:ascii="Century Gothic" w:eastAsia="Century Gothic" w:hAnsi="Century Gothic" w:cs="Century Gothic"/>
        </w:rPr>
        <w:t>, por el contrario, conforme a los estándares constitucionales e internacionales en materia de Derechos Humanos, cualquier medida que pretenda identificar a una persona usuaria de las T</w:t>
      </w:r>
      <w:r w:rsidR="001D73A2">
        <w:rPr>
          <w:rFonts w:ascii="Century Gothic" w:eastAsia="Century Gothic" w:hAnsi="Century Gothic" w:cs="Century Gothic"/>
        </w:rPr>
        <w:t>I</w:t>
      </w:r>
      <w:r w:rsidRPr="00A555A1">
        <w:rPr>
          <w:rFonts w:ascii="Century Gothic" w:eastAsia="Century Gothic" w:hAnsi="Century Gothic" w:cs="Century Gothic"/>
        </w:rPr>
        <w:t>C debe ser estrictamente focalizada y, además, autorizada de manera exclusiva en sede judicial, pues sólo bajo ese control jurisdiccional se garantiza la legalidad, necesidad y proporcionalidad de la injerencia en la esfera privada.</w:t>
      </w:r>
    </w:p>
    <w:p w14:paraId="66D5EE55"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En atención de lo anterior, organismos internacionales de derechos humanos han reconocido que requisitos de registro de datos personales de identificación al activar una tarjeta SIM, como es el caso de las Plataformas de Gestión impuestas por los actuales Lineamientos, </w:t>
      </w:r>
      <w:r w:rsidRPr="00A555A1">
        <w:rPr>
          <w:rFonts w:ascii="Century Gothic" w:eastAsia="Century Gothic" w:hAnsi="Century Gothic" w:cs="Century Gothic"/>
          <w:i/>
          <w:iCs/>
        </w:rPr>
        <w:t>“menoscaban directamente el anonimato, en particular para aquellas personas que acceden a Internet únicamente a través de la tecnología móvil”</w:t>
      </w:r>
      <w:r w:rsidRPr="00A555A1">
        <w:rPr>
          <w:rFonts w:ascii="Century Gothic" w:eastAsia="Century Gothic" w:hAnsi="Century Gothic" w:cs="Century Gothic"/>
          <w:vertAlign w:val="superscript"/>
        </w:rPr>
        <w:footnoteReference w:id="142"/>
      </w:r>
      <w:r w:rsidRPr="00A555A1">
        <w:rPr>
          <w:rFonts w:ascii="Century Gothic" w:eastAsia="Century Gothic" w:hAnsi="Century Gothic" w:cs="Century Gothic"/>
        </w:rPr>
        <w:t xml:space="preserve">, en tanto dicho registro obligatorio de las tarjetas SIM </w:t>
      </w:r>
      <w:r w:rsidRPr="00A555A1">
        <w:rPr>
          <w:rFonts w:ascii="Century Gothic" w:eastAsia="Century Gothic" w:hAnsi="Century Gothic" w:cs="Century Gothic"/>
          <w:i/>
          <w:iCs/>
        </w:rPr>
        <w:t xml:space="preserve">“puede </w:t>
      </w:r>
      <w:r w:rsidRPr="00A555A1">
        <w:rPr>
          <w:rFonts w:ascii="Century Gothic" w:eastAsia="Century Gothic" w:hAnsi="Century Gothic" w:cs="Century Gothic"/>
          <w:i/>
          <w:iCs/>
        </w:rPr>
        <w:lastRenderedPageBreak/>
        <w:t>proporcionar a los gobiernos la capacidad de vigilar a personas y periodistas más allá de cualquier interés gubernamental legítimo.”</w:t>
      </w:r>
      <w:r w:rsidRPr="00A555A1">
        <w:rPr>
          <w:rFonts w:ascii="Century Gothic" w:eastAsia="Century Gothic" w:hAnsi="Century Gothic" w:cs="Century Gothic"/>
          <w:vertAlign w:val="superscript"/>
        </w:rPr>
        <w:footnoteReference w:id="143"/>
      </w:r>
    </w:p>
    <w:p w14:paraId="3825176F" w14:textId="77777777" w:rsidR="00001DF2" w:rsidRPr="00A555A1" w:rsidRDefault="00000000">
      <w:pPr>
        <w:spacing w:line="360" w:lineRule="auto"/>
        <w:jc w:val="center"/>
        <w:rPr>
          <w:rFonts w:ascii="Century Gothic" w:eastAsia="Century Gothic" w:hAnsi="Century Gothic" w:cs="Century Gothic"/>
        </w:rPr>
      </w:pPr>
      <w:r w:rsidRPr="00A555A1">
        <w:rPr>
          <w:rFonts w:ascii="Century Gothic" w:eastAsia="Century Gothic" w:hAnsi="Century Gothic" w:cs="Century Gothic"/>
          <w:b/>
          <w:bCs/>
        </w:rPr>
        <w:t>B. APLICACIÓN DEL PARÁMETRO DE REGULARIDAD CONSTITUCIONAL</w:t>
      </w:r>
    </w:p>
    <w:p w14:paraId="0200CE07"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A la luz de los estándares desarrollados anteriormente, resulta necesario analizar si las interferencias con el derecho a la libertad de expresión, a la protesta social pacífica y en particular el derecho a la expresión anónima, que provocan las normas combatidas, cumple con los requisitos de idoneidad, necesidad y proporcionalidad.</w:t>
      </w:r>
    </w:p>
    <w:p w14:paraId="73EC87B4"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En este sentido, se reiteran las consideraciones en torno al incumplimiento de los requisitos de idoneidad y necesidad expresadas en los conceptos de violación precedentes (privacidad y acceso a las TIC), en tanto resultan idénticamente aplicables por lo que debe concluirse de igual manera la inconstitucionalidad de las normas combatidas.</w:t>
      </w:r>
    </w:p>
    <w:p w14:paraId="541F0831" w14:textId="6F0CD939"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No obstante </w:t>
      </w:r>
      <w:r w:rsidR="00272B60" w:rsidRPr="00A555A1">
        <w:rPr>
          <w:rFonts w:ascii="Century Gothic" w:eastAsia="Century Gothic" w:hAnsi="Century Gothic" w:cs="Century Gothic"/>
        </w:rPr>
        <w:t xml:space="preserve">a </w:t>
      </w:r>
      <w:r w:rsidRPr="00A555A1">
        <w:rPr>
          <w:rFonts w:ascii="Century Gothic" w:eastAsia="Century Gothic" w:hAnsi="Century Gothic" w:cs="Century Gothic"/>
        </w:rPr>
        <w:t>lo anterior, respecto de la grada de proporcionalidad, debe apreciarse en primer lugar que las interferencias con el derecho a la libertad de expresión, en particular al derecho de expresión anónima, son de una intensidad alta, derivado de que el requisito de registro de datos personales, el procesamiento de datos sensibles (biometría y prueba de vida) y vinculación obligatoria es masivo e indiscriminado respecto de la totalidad de las personas usuarias de telefonía móvil.</w:t>
      </w:r>
    </w:p>
    <w:p w14:paraId="458A1DB0" w14:textId="5E4893F6"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Además, la ausencia de salvaguardas adecuadas, en particular el control judicial previo, respecto del acceso a las Plataformas de Registro de Líneas por parte de autoridades de seguridad y procuración de justicia, intensifica el nivel de las interferencias en el derecho de expresión anónima y producen un devastador efecto inhibidor en el ejercicio de la libertad de expresión. Tal y como fue advertido en el caso PANAUT, el Estado incumple con su obligación de no amedrentar la libre expresión de ideas; este acoso latente tiene un impacto particularmente intenso y genera un </w:t>
      </w:r>
      <w:r w:rsidRPr="00A555A1">
        <w:rPr>
          <w:rFonts w:ascii="Century Gothic" w:eastAsia="Century Gothic" w:hAnsi="Century Gothic" w:cs="Century Gothic"/>
          <w:i/>
          <w:iCs/>
        </w:rPr>
        <w:t>efecto disuasivo (chilling effect)</w:t>
      </w:r>
      <w:r w:rsidRPr="00A555A1">
        <w:rPr>
          <w:rFonts w:ascii="Century Gothic" w:eastAsia="Century Gothic" w:hAnsi="Century Gothic" w:cs="Century Gothic"/>
        </w:rPr>
        <w:t xml:space="preserve"> respecto de algunos grupos de población como las personas periodistas, las personas alertadoras de hechos de corrupción y violaciones a derechos humanos, así como a las personas defensoras de derechos humanos.</w:t>
      </w:r>
    </w:p>
    <w:p w14:paraId="5EA1B344"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lastRenderedPageBreak/>
        <w:t>Como ha sido establecido, el sistema normativo de la actual LMTR y los Lineamientos, puede permitir a autoridades y otras personas que accedan a la base de datos de manera ilegal o sin control judicial, el conocer no solo la posible identidad, sino cualquier otra información que se encuentre ligada a su número telefónico, lo cual potencialmente permite conocer un gran cúmulo de información de una persona, el cual facilita medidas de vigilancia masiva que transgreden los principios democráticos; asfixiando por completo el ecosistema de libertades indispensable para la deliberación ciudadana tal y como lo proscribe la jurisprudencia de la Acción de Inconstitucionalidad 55/2024 de la SCJN.</w:t>
      </w:r>
    </w:p>
    <w:p w14:paraId="7C6718BB"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De esta manera, dado que como ha sido establecido, existe una ausencia absoluta o significativa de contribución al fin perseguido por las medidas contempladas en las normas combatidas, derivada de la ausencia de evidencia de que requisitos de identidad y prueba de vida para la adquisición y uso de tarjetas SIM contribuyan a la reducción de índices delictivos, la imposibilidad de presumir que la persona registrada en las Plataformas de Gestión es la responsable de una comunicación y dado que existen múltiples maneras en las que este registro puede eludirse (como el imparable mercado negro, las empresas fantasma advertidas por PRODECON y el roaming internacional), como fue desarrollado en el concepto de violación primero, es claro que las normas combatidas restringen de manera desproporcionada el derecho a la expresión anónima y generan un efecto inhibidor en el ejercicio del derecho a la libertad de expresión que implica el franco incumplimiento del requisito de proporcionalidad.</w:t>
      </w:r>
    </w:p>
    <w:p w14:paraId="1A2CC6C1" w14:textId="5CC54ABB"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Por lo tanto, debe concluirse que las normas combatidas vulneran el derecho a la libertad de expresión, a la protesta social pacífica, el anonimato y la libre asociación, derechos reconocidos e interdependientes consagrados en los artículos 6, 7 y 9 de la CPEUM, 13 y 15 de la CADH y 19 y 21 del PIDCP, por lo que debe de darse el </w:t>
      </w:r>
      <w:r w:rsidR="004F3C91" w:rsidRPr="00A555A1">
        <w:rPr>
          <w:rFonts w:ascii="Century Gothic" w:eastAsia="Century Gothic" w:hAnsi="Century Gothic" w:cs="Century Gothic"/>
        </w:rPr>
        <w:t>amparo</w:t>
      </w:r>
      <w:r w:rsidRPr="00A555A1">
        <w:rPr>
          <w:rFonts w:ascii="Century Gothic" w:eastAsia="Century Gothic" w:hAnsi="Century Gothic" w:cs="Century Gothic"/>
        </w:rPr>
        <w:t xml:space="preserve"> de la Justicia Federal a favor de</w:t>
      </w:r>
      <w:r w:rsidR="004F3C91" w:rsidRPr="00A555A1">
        <w:rPr>
          <w:rFonts w:ascii="Century Gothic" w:eastAsia="Century Gothic" w:hAnsi="Century Gothic" w:cs="Century Gothic"/>
        </w:rPr>
        <w:t xml:space="preserve"> </w:t>
      </w:r>
      <w:r w:rsidRPr="00A555A1">
        <w:rPr>
          <w:rFonts w:ascii="Century Gothic" w:eastAsia="Century Gothic" w:hAnsi="Century Gothic" w:cs="Century Gothic"/>
        </w:rPr>
        <w:t>l</w:t>
      </w:r>
      <w:r w:rsidR="004F3C91" w:rsidRPr="00A555A1">
        <w:rPr>
          <w:rFonts w:ascii="Century Gothic" w:eastAsia="Century Gothic" w:hAnsi="Century Gothic" w:cs="Century Gothic"/>
        </w:rPr>
        <w:t>a</w:t>
      </w:r>
      <w:r w:rsidRPr="00A555A1">
        <w:rPr>
          <w:rFonts w:ascii="Century Gothic" w:eastAsia="Century Gothic" w:hAnsi="Century Gothic" w:cs="Century Gothic"/>
        </w:rPr>
        <w:t xml:space="preserve"> suscrit</w:t>
      </w:r>
      <w:r w:rsidR="004F3C91" w:rsidRPr="00A555A1">
        <w:rPr>
          <w:rFonts w:ascii="Century Gothic" w:eastAsia="Century Gothic" w:hAnsi="Century Gothic" w:cs="Century Gothic"/>
        </w:rPr>
        <w:t>a persona quejosa</w:t>
      </w:r>
      <w:r w:rsidRPr="00A555A1">
        <w:rPr>
          <w:rFonts w:ascii="Century Gothic" w:eastAsia="Century Gothic" w:hAnsi="Century Gothic" w:cs="Century Gothic"/>
        </w:rPr>
        <w:t>.</w:t>
      </w:r>
    </w:p>
    <w:p w14:paraId="42D1A7AA" w14:textId="77777777" w:rsidR="00001DF2" w:rsidRPr="00A555A1" w:rsidRDefault="00001DF2">
      <w:pPr>
        <w:spacing w:line="360" w:lineRule="auto"/>
        <w:ind w:firstLine="1418"/>
        <w:jc w:val="both"/>
        <w:rPr>
          <w:rFonts w:ascii="Century Gothic" w:eastAsia="Century Gothic" w:hAnsi="Century Gothic" w:cs="Century Gothic"/>
        </w:rPr>
      </w:pPr>
    </w:p>
    <w:p w14:paraId="0019FE87" w14:textId="77777777" w:rsidR="00001DF2" w:rsidRPr="00A555A1" w:rsidRDefault="00000000">
      <w:pPr>
        <w:spacing w:line="360" w:lineRule="auto"/>
        <w:jc w:val="both"/>
        <w:rPr>
          <w:rFonts w:ascii="Century Gothic" w:eastAsia="Century Gothic" w:hAnsi="Century Gothic" w:cs="Century Gothic"/>
        </w:rPr>
      </w:pPr>
      <w:r w:rsidRPr="00A555A1">
        <w:rPr>
          <w:rFonts w:ascii="Century Gothic" w:eastAsia="Century Gothic" w:hAnsi="Century Gothic" w:cs="Century Gothic"/>
          <w:b/>
          <w:bCs/>
        </w:rPr>
        <w:t xml:space="preserve">CUARTO.- EL SISTEMA NORMATIVO DE VINCULACIÓN OBLIGATORIA CONFIGURA UNA PRESUNCIÓN MATERIAL DE CULPABILIDAD QUE VIOLA EL DERECHO A LA PRESUNCIÓN DE INOCENCIA ESTABLECIDO EN EL ARTÍCULO 20, APARTADO B, FRACCIÓN I, DE LA CPEUM, 8.2 DE LA CADH Y 14.2 DEL PIDCP, ASÍ </w:t>
      </w:r>
      <w:r w:rsidRPr="00A555A1">
        <w:rPr>
          <w:rFonts w:ascii="Century Gothic" w:eastAsia="Century Gothic" w:hAnsi="Century Gothic" w:cs="Century Gothic"/>
          <w:b/>
          <w:bCs/>
        </w:rPr>
        <w:lastRenderedPageBreak/>
        <w:t>COMO LA PROHIBICIÓN DE PENAS TRASCENDENTALES DEL ARTÍCULO 22 CONSTITUCIONAL.</w:t>
      </w:r>
    </w:p>
    <w:p w14:paraId="00462563"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Si bien es cierto que el nuevo sistema normativo combatido (artículo 103 de la LMTR y los Lineamientos de la CRT) omitió reproducir textualmente la inconstitucional presunción legal que sí contenía el derogado artículo 180 Bis del extinto PANAUT, también lo es que el diseño tecnológico implementado configura una </w:t>
      </w:r>
      <w:r w:rsidRPr="00A555A1">
        <w:rPr>
          <w:rFonts w:ascii="Century Gothic" w:eastAsia="Century Gothic" w:hAnsi="Century Gothic" w:cs="Century Gothic"/>
          <w:b/>
          <w:bCs/>
        </w:rPr>
        <w:t>presunción material o de facto</w:t>
      </w:r>
      <w:r w:rsidRPr="00A555A1">
        <w:rPr>
          <w:rFonts w:ascii="Century Gothic" w:eastAsia="Century Gothic" w:hAnsi="Century Gothic" w:cs="Century Gothic"/>
        </w:rPr>
        <w:t xml:space="preserve"> idéntica.</w:t>
      </w:r>
    </w:p>
    <w:p w14:paraId="1E14FE1E" w14:textId="737F6DF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Al establecer la obligación ineludible de vincular toda línea de telefonía móvil a la identidad, CURP, RFC e incluso someter al usuario a una "Validación de Identidad" y "Prueba de Vida" en las Plataformas de Registro, como la del Estado</w:t>
      </w:r>
      <w:r w:rsidR="00272B60" w:rsidRPr="00A555A1">
        <w:rPr>
          <w:rFonts w:ascii="Century Gothic" w:eastAsia="Century Gothic" w:hAnsi="Century Gothic" w:cs="Century Gothic"/>
        </w:rPr>
        <w:t xml:space="preserve"> (extinto PANAUT),</w:t>
      </w:r>
      <w:r w:rsidRPr="00A555A1">
        <w:rPr>
          <w:rFonts w:ascii="Century Gothic" w:eastAsia="Century Gothic" w:hAnsi="Century Gothic" w:cs="Century Gothic"/>
        </w:rPr>
        <w:t xml:space="preserve"> preconstituye un elemento de prueba irrefutable que materialmente asume:</w:t>
      </w:r>
    </w:p>
    <w:p w14:paraId="26657AC3" w14:textId="77777777" w:rsidR="00001DF2" w:rsidRPr="00A555A1" w:rsidRDefault="00000000">
      <w:pPr>
        <w:numPr>
          <w:ilvl w:val="0"/>
          <w:numId w:val="5"/>
        </w:numPr>
        <w:spacing w:line="360" w:lineRule="auto"/>
        <w:jc w:val="both"/>
        <w:rPr>
          <w:rFonts w:ascii="Century Gothic" w:eastAsia="Century Gothic" w:hAnsi="Century Gothic" w:cs="Century Gothic"/>
        </w:rPr>
      </w:pPr>
      <w:r w:rsidRPr="00A555A1">
        <w:rPr>
          <w:rFonts w:ascii="Century Gothic" w:eastAsia="Century Gothic" w:hAnsi="Century Gothic" w:cs="Century Gothic"/>
        </w:rPr>
        <w:t>La existencia de la línea registrada en las Plataformas de Gestión.</w:t>
      </w:r>
    </w:p>
    <w:p w14:paraId="1E234FAA" w14:textId="77777777" w:rsidR="00001DF2" w:rsidRPr="00A555A1" w:rsidRDefault="00000000">
      <w:pPr>
        <w:numPr>
          <w:ilvl w:val="0"/>
          <w:numId w:val="5"/>
        </w:numPr>
        <w:spacing w:line="360" w:lineRule="auto"/>
        <w:jc w:val="both"/>
        <w:rPr>
          <w:rFonts w:ascii="Century Gothic" w:eastAsia="Century Gothic" w:hAnsi="Century Gothic" w:cs="Century Gothic"/>
        </w:rPr>
      </w:pPr>
      <w:r w:rsidRPr="00A555A1">
        <w:rPr>
          <w:rFonts w:ascii="Century Gothic" w:eastAsia="Century Gothic" w:hAnsi="Century Gothic" w:cs="Century Gothic"/>
        </w:rPr>
        <w:t xml:space="preserve">Que la persona que fue validada tecnológicamente como "Titular" en el registro es quien materialmente ejerce el dominio, control y autoría de los actos vinculados a la línea, lo cual se desprende de la lectura que se realice a los artículos 7º, fracción I y 13 de los Lineamientos, los cuales obligan a los concesionarios a habilitar y mantener activo el servicio </w:t>
      </w:r>
      <w:r w:rsidRPr="00A555A1">
        <w:rPr>
          <w:rFonts w:ascii="Century Gothic" w:eastAsia="Century Gothic" w:hAnsi="Century Gothic" w:cs="Century Gothic"/>
          <w:i/>
          <w:iCs/>
        </w:rPr>
        <w:t>únicamente</w:t>
      </w:r>
      <w:r w:rsidRPr="00A555A1">
        <w:rPr>
          <w:rFonts w:ascii="Century Gothic" w:eastAsia="Century Gothic" w:hAnsi="Century Gothic" w:cs="Century Gothic"/>
        </w:rPr>
        <w:t xml:space="preserve"> para las líneas telefónicas que estén "vinculadas a un Titular".</w:t>
      </w:r>
    </w:p>
    <w:p w14:paraId="4BB3ED29" w14:textId="77777777" w:rsidR="00001DF2" w:rsidRPr="00A555A1" w:rsidRDefault="00000000">
      <w:pPr>
        <w:numPr>
          <w:ilvl w:val="0"/>
          <w:numId w:val="5"/>
        </w:numPr>
        <w:spacing w:line="360" w:lineRule="auto"/>
        <w:jc w:val="both"/>
        <w:rPr>
          <w:rFonts w:ascii="Century Gothic" w:eastAsia="Century Gothic" w:hAnsi="Century Gothic" w:cs="Century Gothic"/>
        </w:rPr>
      </w:pPr>
      <w:r w:rsidRPr="00A555A1">
        <w:rPr>
          <w:rFonts w:ascii="Century Gothic" w:eastAsia="Century Gothic" w:hAnsi="Century Gothic" w:cs="Century Gothic"/>
        </w:rPr>
        <w:t>La vinculación irrefutable de la identidad o “Prueba de Vida”, la cual se perfecciona mediante los artículos 16 y 17, que exigen una "Validación de Identidad" contra bases de datos del gobierno (como RENAPO o el INE), y se agrava con el artículo 24 (fracciones III y IV), que exige someter al usuario a una "Prueba de Vida" remota y a la captura de su Identificación Oficial para poder habilitarle el servicio.</w:t>
      </w:r>
    </w:p>
    <w:p w14:paraId="509E0929" w14:textId="77777777" w:rsidR="00001DF2" w:rsidRPr="00A555A1" w:rsidRDefault="00000000">
      <w:pPr>
        <w:numPr>
          <w:ilvl w:val="0"/>
          <w:numId w:val="5"/>
        </w:numPr>
        <w:spacing w:line="360" w:lineRule="auto"/>
        <w:jc w:val="both"/>
        <w:rPr>
          <w:rFonts w:ascii="Century Gothic" w:eastAsia="Century Gothic" w:hAnsi="Century Gothic" w:cs="Century Gothic"/>
        </w:rPr>
      </w:pPr>
      <w:r w:rsidRPr="00A555A1">
        <w:rPr>
          <w:rFonts w:ascii="Century Gothic" w:eastAsia="Century Gothic" w:hAnsi="Century Gothic" w:cs="Century Gothic"/>
        </w:rPr>
        <w:t>La validez y atribución de los actos ilícitos que se relacionen con dicho servicio de telecomunicaciones.</w:t>
      </w:r>
    </w:p>
    <w:p w14:paraId="59D24229" w14:textId="7BA1E45C"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Con independencia de que el legislador </w:t>
      </w:r>
      <w:r w:rsidR="00272B60" w:rsidRPr="00A555A1">
        <w:rPr>
          <w:rFonts w:ascii="Century Gothic" w:eastAsia="Century Gothic" w:hAnsi="Century Gothic" w:cs="Century Gothic"/>
        </w:rPr>
        <w:t xml:space="preserve">y la CRT </w:t>
      </w:r>
      <w:r w:rsidRPr="00A555A1">
        <w:rPr>
          <w:rFonts w:ascii="Century Gothic" w:eastAsia="Century Gothic" w:hAnsi="Century Gothic" w:cs="Century Gothic"/>
        </w:rPr>
        <w:t xml:space="preserve">haya intentado ocultar esta carga probatoria en la nueva redacción, se advierte que la </w:t>
      </w:r>
      <w:r w:rsidRPr="00A555A1">
        <w:rPr>
          <w:rFonts w:ascii="Century Gothic" w:eastAsia="Century Gothic" w:hAnsi="Century Gothic" w:cs="Century Gothic"/>
          <w:b/>
          <w:bCs/>
        </w:rPr>
        <w:t>consecuencia fáctica</w:t>
      </w:r>
      <w:r w:rsidRPr="00A555A1">
        <w:rPr>
          <w:rFonts w:ascii="Century Gothic" w:eastAsia="Century Gothic" w:hAnsi="Century Gothic" w:cs="Century Gothic"/>
        </w:rPr>
        <w:t xml:space="preserve"> del registro de datos personales y la vinculación biométrica vulnera flagrantemente lo establecido en la fracción I del apartado B del artículo 20 de la CPEUM, el cual exige:</w:t>
      </w:r>
    </w:p>
    <w:p w14:paraId="7240F7AF" w14:textId="77777777" w:rsidR="00001DF2" w:rsidRPr="00A555A1" w:rsidRDefault="00000000">
      <w:pPr>
        <w:spacing w:line="360" w:lineRule="auto"/>
        <w:ind w:left="851" w:right="618"/>
        <w:jc w:val="both"/>
        <w:rPr>
          <w:rFonts w:ascii="Century Gothic" w:eastAsia="Century Gothic" w:hAnsi="Century Gothic" w:cs="Century Gothic"/>
          <w:sz w:val="20"/>
          <w:szCs w:val="20"/>
        </w:rPr>
      </w:pPr>
      <w:r w:rsidRPr="00A555A1">
        <w:rPr>
          <w:rFonts w:ascii="Century Gothic" w:eastAsia="Century Gothic" w:hAnsi="Century Gothic" w:cs="Century Gothic"/>
          <w:sz w:val="20"/>
          <w:szCs w:val="20"/>
        </w:rPr>
        <w:t xml:space="preserve">Artículo 20. (...) </w:t>
      </w:r>
    </w:p>
    <w:p w14:paraId="416AD7C8" w14:textId="77777777" w:rsidR="00001DF2" w:rsidRPr="00A555A1" w:rsidRDefault="00000000">
      <w:pPr>
        <w:spacing w:line="360" w:lineRule="auto"/>
        <w:ind w:left="851" w:right="618"/>
        <w:jc w:val="both"/>
        <w:rPr>
          <w:rFonts w:ascii="Century Gothic" w:eastAsia="Century Gothic" w:hAnsi="Century Gothic" w:cs="Century Gothic"/>
          <w:sz w:val="20"/>
          <w:szCs w:val="20"/>
        </w:rPr>
      </w:pPr>
      <w:r w:rsidRPr="00A555A1">
        <w:rPr>
          <w:rFonts w:ascii="Century Gothic" w:eastAsia="Century Gothic" w:hAnsi="Century Gothic" w:cs="Century Gothic"/>
          <w:sz w:val="20"/>
          <w:szCs w:val="20"/>
        </w:rPr>
        <w:lastRenderedPageBreak/>
        <w:t>B. De los derechos de toda persona imputada:</w:t>
      </w:r>
    </w:p>
    <w:p w14:paraId="3AE4DA04" w14:textId="77777777" w:rsidR="00001DF2" w:rsidRPr="00A555A1" w:rsidRDefault="00000000">
      <w:pPr>
        <w:spacing w:line="360" w:lineRule="auto"/>
        <w:ind w:left="851" w:right="618"/>
        <w:jc w:val="both"/>
        <w:rPr>
          <w:rFonts w:ascii="Century Gothic" w:eastAsia="Century Gothic" w:hAnsi="Century Gothic" w:cs="Century Gothic"/>
          <w:sz w:val="20"/>
          <w:szCs w:val="20"/>
        </w:rPr>
      </w:pPr>
      <w:r w:rsidRPr="00A555A1">
        <w:rPr>
          <w:rFonts w:ascii="Century Gothic" w:eastAsia="Century Gothic" w:hAnsi="Century Gothic" w:cs="Century Gothic"/>
          <w:sz w:val="20"/>
          <w:szCs w:val="20"/>
        </w:rPr>
        <w:t>I. A que se presuma su inocencia mientras no se declare su responsabilidad mediante sentencia emitida por el juez de la causa;</w:t>
      </w:r>
    </w:p>
    <w:p w14:paraId="788C946E" w14:textId="77777777" w:rsidR="00001DF2" w:rsidRPr="00A555A1" w:rsidRDefault="00000000">
      <w:pPr>
        <w:spacing w:line="360" w:lineRule="auto"/>
        <w:ind w:left="851" w:right="618"/>
        <w:jc w:val="both"/>
        <w:rPr>
          <w:rFonts w:ascii="Century Gothic" w:eastAsia="Century Gothic" w:hAnsi="Century Gothic" w:cs="Century Gothic"/>
          <w:sz w:val="20"/>
          <w:szCs w:val="20"/>
        </w:rPr>
      </w:pPr>
      <w:r w:rsidRPr="00A555A1">
        <w:rPr>
          <w:rFonts w:ascii="Century Gothic" w:eastAsia="Century Gothic" w:hAnsi="Century Gothic" w:cs="Century Gothic"/>
          <w:sz w:val="20"/>
          <w:szCs w:val="20"/>
        </w:rPr>
        <w:t>(…)</w:t>
      </w:r>
    </w:p>
    <w:p w14:paraId="44273D04"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Redacción similar que establecen los artículos 8.2 de la CADH</w:t>
      </w:r>
      <w:r w:rsidRPr="00A555A1">
        <w:rPr>
          <w:rFonts w:ascii="Century Gothic" w:eastAsia="Century Gothic" w:hAnsi="Century Gothic" w:cs="Century Gothic"/>
          <w:vertAlign w:val="superscript"/>
        </w:rPr>
        <w:footnoteReference w:id="144"/>
      </w:r>
      <w:r w:rsidRPr="00A555A1">
        <w:rPr>
          <w:rFonts w:ascii="Century Gothic" w:eastAsia="Century Gothic" w:hAnsi="Century Gothic" w:cs="Century Gothic"/>
        </w:rPr>
        <w:t xml:space="preserve"> y 14.2 del PIDCP</w:t>
      </w:r>
      <w:r w:rsidRPr="00A555A1">
        <w:rPr>
          <w:rFonts w:ascii="Century Gothic" w:eastAsia="Century Gothic" w:hAnsi="Century Gothic" w:cs="Century Gothic"/>
          <w:vertAlign w:val="superscript"/>
        </w:rPr>
        <w:footnoteReference w:id="145"/>
      </w:r>
      <w:r w:rsidRPr="00A555A1">
        <w:rPr>
          <w:rFonts w:ascii="Century Gothic" w:eastAsia="Century Gothic" w:hAnsi="Century Gothic" w:cs="Century Gothic"/>
        </w:rPr>
        <w:t>.</w:t>
      </w:r>
    </w:p>
    <w:p w14:paraId="305CA270"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Para demostrar esto, se hará un breve recuento sobre el contenido del derecho a la presunción de inocencia conforme se ha interpretado en la SCJN y en la Corte IDH. Posteriormente, se comprobará cómo el diseño del artículo 103 de la LMTR y los Lineamientos actúan materialmente como una prueba de cargo que revierte la carga probatoria, y cómo esta violación detona la inconvencional Prisión Preventiva Oficiosa y la aplicación de penas trascendentales.</w:t>
      </w:r>
    </w:p>
    <w:p w14:paraId="6CD07050" w14:textId="77777777" w:rsidR="00001DF2" w:rsidRPr="00A555A1" w:rsidRDefault="00000000">
      <w:pPr>
        <w:spacing w:line="360" w:lineRule="auto"/>
        <w:jc w:val="center"/>
        <w:rPr>
          <w:rFonts w:ascii="Century Gothic" w:eastAsia="Century Gothic" w:hAnsi="Century Gothic" w:cs="Century Gothic"/>
        </w:rPr>
      </w:pPr>
      <w:r w:rsidRPr="00A555A1">
        <w:rPr>
          <w:rFonts w:ascii="Century Gothic" w:eastAsia="Century Gothic" w:hAnsi="Century Gothic" w:cs="Century Gothic"/>
          <w:b/>
          <w:bCs/>
        </w:rPr>
        <w:t>A. EL CONTENIDO DEL DERECHO A LA PRESUNCIÓN DE INOCENCIA.</w:t>
      </w:r>
    </w:p>
    <w:p w14:paraId="13718DCC"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Es importante recalcar los criterios de la Corte IDH que retomó la SCJN en el Amparo Directo en Revisión 3623/2014, como lo es la sentencia de Ricardo Canese vs Paraguay. En dicha sentencia, la Corte IDH define que </w:t>
      </w:r>
      <w:r w:rsidRPr="00A555A1">
        <w:rPr>
          <w:rFonts w:ascii="Century Gothic" w:eastAsia="Century Gothic" w:hAnsi="Century Gothic" w:cs="Century Gothic"/>
          <w:i/>
          <w:iCs/>
        </w:rPr>
        <w:t>“la presunción de inocencia es un derecho que implica que el acusado no debe demostrar que no se ha cometido el delito que se le atribuye, ya que el onus probandi corresponde a quien le acusa.”</w:t>
      </w:r>
      <w:r w:rsidRPr="00A555A1">
        <w:rPr>
          <w:rFonts w:ascii="Century Gothic" w:eastAsia="Century Gothic" w:hAnsi="Century Gothic" w:cs="Century Gothic"/>
          <w:vertAlign w:val="superscript"/>
        </w:rPr>
        <w:footnoteReference w:id="146"/>
      </w:r>
      <w:r w:rsidRPr="00A555A1">
        <w:rPr>
          <w:rFonts w:ascii="Century Gothic" w:eastAsia="Century Gothic" w:hAnsi="Century Gothic" w:cs="Century Gothic"/>
        </w:rPr>
        <w:t xml:space="preserve"> </w:t>
      </w:r>
    </w:p>
    <w:p w14:paraId="065991C5"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La CPEUM, la SCJN y la Corte IDH concuerdan que un requisito indispensable de la presunción de inocencia es que la carga probatoria recaiga sobre el Ministerio Público y no el acusado. Por lo cual, una disposición que revierta la carga de la prueba sobre el ciudadano, asumiendo su culpabilidad por el mero registro de un número telefónico, debe de considerarse como abiertamente violatoria al derecho a la presunción de inocencia.</w:t>
      </w:r>
    </w:p>
    <w:p w14:paraId="3539F10F" w14:textId="77777777" w:rsidR="00001DF2" w:rsidRPr="00A555A1" w:rsidRDefault="00000000">
      <w:pPr>
        <w:spacing w:line="360" w:lineRule="auto"/>
        <w:jc w:val="center"/>
        <w:rPr>
          <w:rFonts w:ascii="Century Gothic" w:eastAsia="Century Gothic" w:hAnsi="Century Gothic" w:cs="Century Gothic"/>
        </w:rPr>
      </w:pPr>
      <w:r w:rsidRPr="00A555A1">
        <w:rPr>
          <w:rFonts w:ascii="Century Gothic" w:eastAsia="Century Gothic" w:hAnsi="Century Gothic" w:cs="Century Gothic"/>
          <w:b/>
          <w:bCs/>
        </w:rPr>
        <w:t>B. INCONSTITUCIONALIDAD DEL ARTÍCULO 103 DE LA LMTR Y LOS LINEAMIENTOS.</w:t>
      </w:r>
    </w:p>
    <w:p w14:paraId="0AE192A9"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lastRenderedPageBreak/>
        <w:t>La presunción material establecida señala que la persona registrada y validada biométricamente es la operadora de la línea de telefonía móvil. Esta presunción revierte la carga de la prueba de manera injustificada hacia las y los ciudadanos.</w:t>
      </w:r>
    </w:p>
    <w:p w14:paraId="0AC41871"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El artículo 103 de la LMTR y los Lineamientos de la CRT ignoran la jurisprudencia nacional e internacional respecto a la presunción de inocencia e imponen una carga probatoria excesiva y desproporcionada. Esto es así, pues la presunción implica que las personas que aparezcan como titulares tengan que probar un hecho negativo, a saber: que no son quienes operan la línea, que no la usan, que fueron víctimas de suplantación o que alguien más hizo un uso delictivo de la misma.</w:t>
      </w:r>
    </w:p>
    <w:p w14:paraId="1FEA5FA0" w14:textId="12BF1C74"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No se puede omitir, como ya quedó señalado en la versión estenográfica de la sesión extraordinaria de fecha 28 de junio de 2025 de la Cámara de Senadores, que el legislador diseñó este padrón bajo el fin expreso de perseguir delitos como la extorsión, el secuestro o, en general, los relacionados con el crimen organizado. Por lo cual, es claro que el sistema normativo combatido busca que esta presunción (la asociación irrefutable de la identidad con el SIM o eSIM) sea utilizada como prueba de cargo preconstituida contra las personas titulares en caso de que se cometa un hecho delictivo. Este precepto normativo viola la presunción de inocencia, pues remueve uno de los requisitos más importantes de la modalidad de regla probatoria al eximir a la parte acusadora de investigar los hechos, investigar la autoría material y presentar pruebas, trasladando al titular de la línea la carga de demostrar su inocencia.</w:t>
      </w:r>
    </w:p>
    <w:p w14:paraId="7D6335EB"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Es precisamente en este punto donde la vulneración adquiere tintes de inconstitucionalidad, pues los supuestos delitos que se buscan combatir con este padrón (particularmente la extorsión y el secuestro) se encuentran catalogados expresamente en el artículo 19 de la CPEUM</w:t>
      </w:r>
      <w:r w:rsidRPr="00A555A1">
        <w:rPr>
          <w:rFonts w:ascii="Century Gothic" w:eastAsia="Century Gothic" w:hAnsi="Century Gothic" w:cs="Century Gothic"/>
          <w:vertAlign w:val="superscript"/>
        </w:rPr>
        <w:footnoteReference w:id="147"/>
      </w:r>
      <w:r w:rsidRPr="00A555A1">
        <w:rPr>
          <w:rFonts w:ascii="Century Gothic" w:eastAsia="Century Gothic" w:hAnsi="Century Gothic" w:cs="Century Gothic"/>
        </w:rPr>
        <w:t>, el cual impone la medida cautelar gravísima de Prisión Preventiva Oficiosa (en adelante, PPO).</w:t>
      </w:r>
    </w:p>
    <w:p w14:paraId="62186C6F"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lastRenderedPageBreak/>
        <w:t xml:space="preserve">Como lo determinó de manera vinculante la Corte IDH en su reciente sentencia del Caso García Rodríguez y otro Vs. México, la figura de la Prisión Preventiva Oficiosa es </w:t>
      </w:r>
      <w:r w:rsidRPr="00A555A1">
        <w:rPr>
          <w:rFonts w:ascii="Century Gothic" w:eastAsia="Century Gothic" w:hAnsi="Century Gothic" w:cs="Century Gothic"/>
          <w:b/>
          <w:bCs/>
        </w:rPr>
        <w:t>inconvencional</w:t>
      </w:r>
      <w:r w:rsidRPr="00A555A1">
        <w:rPr>
          <w:rFonts w:ascii="Century Gothic" w:eastAsia="Century Gothic" w:hAnsi="Century Gothic" w:cs="Century Gothic"/>
        </w:rPr>
        <w:t>, pues al aplicarse de manera automática o preceptiva, sin un análisis de idoneidad, necesidad y finalidad cautelar en el caso concreto, se transforma materialmente en una pena anticipada que vulnera per se la presunción de inocencia y el derecho a la libertad personal</w:t>
      </w:r>
      <w:r w:rsidRPr="00A555A1">
        <w:rPr>
          <w:rFonts w:ascii="Century Gothic" w:eastAsia="Century Gothic" w:hAnsi="Century Gothic" w:cs="Century Gothic"/>
          <w:vertAlign w:val="superscript"/>
        </w:rPr>
        <w:footnoteReference w:id="148"/>
      </w:r>
      <w:r w:rsidRPr="00A555A1">
        <w:rPr>
          <w:rFonts w:ascii="Century Gothic" w:eastAsia="Century Gothic" w:hAnsi="Century Gothic" w:cs="Century Gothic"/>
        </w:rPr>
        <w:t>.</w:t>
      </w:r>
    </w:p>
    <w:p w14:paraId="5E04C619"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Al crear una presunción legal de que la persona registrada en las plataformas de registro y gestión es el autor material de la extorsión, el Estado Mexicano está configurando un sistema en el que se dictará prisión preventiva oficiosa e inconvencional de manera automática en contra del titular de la línea, por lo que se encierra a una persona sin investigar, obligándola a intentar demostrar su inocencia desde la cárcel, materializando el mayor abuso del poder punitivo estatal.</w:t>
      </w:r>
    </w:p>
    <w:p w14:paraId="78309CDF"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Aunado a lo anterior, y estrechamente relacionado con lo expuesto, el sistema normativo </w:t>
      </w:r>
      <w:r w:rsidRPr="00A555A1">
        <w:rPr>
          <w:rFonts w:ascii="Century Gothic" w:eastAsia="Century Gothic" w:hAnsi="Century Gothic" w:cs="Century Gothic"/>
          <w:b/>
          <w:bCs/>
        </w:rPr>
        <w:t>viola la prohibición de penas trascendentales</w:t>
      </w:r>
      <w:r w:rsidRPr="00A555A1">
        <w:rPr>
          <w:rFonts w:ascii="Century Gothic" w:eastAsia="Century Gothic" w:hAnsi="Century Gothic" w:cs="Century Gothic"/>
        </w:rPr>
        <w:t xml:space="preserve"> consagrada en el </w:t>
      </w:r>
      <w:r w:rsidRPr="00A555A1">
        <w:rPr>
          <w:rFonts w:ascii="Century Gothic" w:eastAsia="Century Gothic" w:hAnsi="Century Gothic" w:cs="Century Gothic"/>
          <w:b/>
          <w:bCs/>
        </w:rPr>
        <w:t>artículo 22 de la CPEUM</w:t>
      </w:r>
      <w:r w:rsidRPr="00A555A1">
        <w:rPr>
          <w:rFonts w:ascii="Century Gothic" w:eastAsia="Century Gothic" w:hAnsi="Century Gothic" w:cs="Century Gothic"/>
        </w:rPr>
        <w:t xml:space="preserve">, el cual dicta de manera tajante: </w:t>
      </w:r>
      <w:r w:rsidRPr="00A555A1">
        <w:rPr>
          <w:rFonts w:ascii="Century Gothic" w:eastAsia="Century Gothic" w:hAnsi="Century Gothic" w:cs="Century Gothic"/>
          <w:i/>
          <w:iCs/>
        </w:rPr>
        <w:t>"Quedan prohibidas las penas de muerte, de mutilación, de infamia, la marca, los azotes, los palos, el tormento de cualquier especie, la multa excesiva, la confiscación de bienes y cualesquiera otras penas inusitadas y trascendentales."</w:t>
      </w:r>
    </w:p>
    <w:p w14:paraId="7BFF1783"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Como se ha señalado previamente, el artículo 10 de los Lineamientos de la CRT contiene una excepción que permite el registro indiscriminado de multilíneas a favor de personas morales y personas físicas con actividad empresarial. Esta vulnerabilidad fomenta que el crimen organizado utilice empresas fantasma o usurpe identidades.</w:t>
      </w:r>
    </w:p>
    <w:p w14:paraId="0435EA37"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Al operar esta presunción de culpabilidad mediante un sistema de registro defectuoso, las consecuencias penales de un delito cometido por el crimen organizado </w:t>
      </w:r>
      <w:r w:rsidRPr="00A555A1">
        <w:rPr>
          <w:rFonts w:ascii="Century Gothic" w:eastAsia="Century Gothic" w:hAnsi="Century Gothic" w:cs="Century Gothic"/>
          <w:b/>
          <w:bCs/>
        </w:rPr>
        <w:t>trascenderán de forma directa e ineludible hacia terceros inocentes</w:t>
      </w:r>
      <w:r w:rsidRPr="00A555A1">
        <w:rPr>
          <w:rFonts w:ascii="Century Gothic" w:eastAsia="Century Gothic" w:hAnsi="Century Gothic" w:cs="Century Gothic"/>
        </w:rPr>
        <w:t>, como las víctimas de usurpación de identidad, prestanombres forzados o los representantes legales de buena fe de una persona moral.</w:t>
      </w:r>
    </w:p>
    <w:p w14:paraId="2366E991"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lastRenderedPageBreak/>
        <w:t>Castigar, recluir y destruir el patrimonio de una persona ajena a la comisión material del delito, únicamente porque su identidad fue usurpada y validada en una plataforma de telecomunicaciones, constituye por definición una pena que trasciende de la persona del verdadero delincuente hacia un inocente. Esta traslación de la carga penal es la materialización exacta de una pena inusitada y trascendental, lo que deviene en la inconstitucionalidad absoluta del artículo 103 de la LMTR y los Lineamientos combatidos al transgredir los artículos 20, apartado b, fracción I, de la CPEUM, 8.2 de la CADH y 14.2 del PIDCP, así como la prohibición de penas trascendentales del artículo 22 de la CPEUM.</w:t>
      </w:r>
    </w:p>
    <w:p w14:paraId="3E1B323F" w14:textId="77777777" w:rsidR="00001DF2" w:rsidRPr="00A555A1" w:rsidRDefault="00001DF2">
      <w:pPr>
        <w:spacing w:line="360" w:lineRule="auto"/>
        <w:ind w:firstLine="1418"/>
        <w:jc w:val="both"/>
        <w:rPr>
          <w:rFonts w:ascii="Century Gothic" w:eastAsia="Century Gothic" w:hAnsi="Century Gothic" w:cs="Century Gothic"/>
        </w:rPr>
      </w:pPr>
    </w:p>
    <w:p w14:paraId="34637B2C" w14:textId="77777777" w:rsidR="00001DF2" w:rsidRPr="00A555A1" w:rsidRDefault="00000000">
      <w:pPr>
        <w:spacing w:line="360" w:lineRule="auto"/>
        <w:jc w:val="both"/>
        <w:rPr>
          <w:rFonts w:ascii="Century Gothic" w:eastAsia="Century Gothic" w:hAnsi="Century Gothic" w:cs="Century Gothic"/>
        </w:rPr>
      </w:pPr>
      <w:r w:rsidRPr="00A555A1">
        <w:rPr>
          <w:rFonts w:ascii="Century Gothic" w:eastAsia="Century Gothic" w:hAnsi="Century Gothic" w:cs="Century Gothic"/>
          <w:b/>
          <w:bCs/>
        </w:rPr>
        <w:t>QUINTO.- INCONSTITUCIONALIDAD POR VIOLACIÓN AL DEBIDO PROCESO Y LA FALTA DE UNA ORDEN JUDICIAL PREVIA EN EL ARTÍCULO 183 DE LA LMTR.</w:t>
      </w:r>
    </w:p>
    <w:p w14:paraId="67790A1E"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Como se ha señalado a lo largo del presente escrito, el Pleno de la SCJN, en el Caso PANAUT, determinó en el rubro temático </w:t>
      </w:r>
      <w:r w:rsidRPr="00A555A1">
        <w:rPr>
          <w:rFonts w:ascii="Century Gothic" w:eastAsia="Century Gothic" w:hAnsi="Century Gothic" w:cs="Century Gothic"/>
          <w:b/>
          <w:bCs/>
        </w:rPr>
        <w:t xml:space="preserve">“XXXIII. PADRÓN NACIONAL DE USUARIOS DE TELEFONÍA MÓVIL (PANAUT). LA MEDIDA LEGISLATIVA QUE LO CREA Y QUE PERMITE RECOPILAR, ADMINISTRAR, CONSERVAR POR TIEMPO INDETERMINADO Y TENER ACCESO A LA INFORMACIÓN PRIVADA Y A LOS DATOS PERSONALES DE TODA AQUELLA PERSONA FÍSICA Y/O MORAL QUE SEA TITULAR DE UNA LÍNEA DE TELEFONÍA MÓVIL, NO SUPERA LA TERCERA GRADA DEL JUICIO DE PROPORCIONALIDAD, YA QUE EXISTE OTRO TIPO DE MEDIDAS DISTINTAS QUE RESULTAN IGUALMENTE IDÓNEAS Y QUE SON MENOS RESTRICTIVAS DE LOS DERECHOS A LA PRIVACIDAD Y A LA PROTECCIÓN DE LOS DATOS PERSONALES (INVALIDEZ DE LA TOTALIDAD DEL SISTEMA NORMATIVO QUE INTEGRA EL DECRETO DE REFORMAS A LA LEY FEDERAL DE TELECOMUNICACIONES Y RADIODIFUSIÓN, PUBLICADO EN EL DIARIO OFICIAL DE LA FEDERACIÓN EL DIECISÉIS DE ABRIL DE DOS MIL VEINTIUNO, ESPECÍFICAMENTE, DE LA FRACCIÓN XLII BIS DEL ARTÍCULO 15, Y LOS ARTÍCULOS 180 BIS, 180 TER, 180 QUÁTER, 180 QUINTES, 180 SEXTUS, 180 SEPTIMUS, 307 BIS, 307 TER, 307 QUÁTER, Y 307 QUINTUS, ASÍ COMO LOS TRANSITORIOS PRIMERO, SEGUNDO, TERCERO, CUARTO, QUINTO Y SEXTO, ADICIONADOS A LA LEY FEDERAL DE TELECOMUNICACIONES Y RADIODIFUSIÓN; ASÍ COMO LA INVALIDEZ DE LAS PORCIONES NORMATIVAS ", EL PADRÓN NACIONAL DE USUARIOS DE TELEFONÍA MÓVIL" DEL ARTÍCULO 176, ", Y REALIZAR EL AVISO CORRESPONDIENTE EN EL PADRÓN NACIONAL DE USUARIOS DE TELEFONÍA MÓVIL" DE LA FRACCIÓN VI DEL ARTÍCULO 190, ", Y PROCEDER A </w:t>
      </w:r>
      <w:r w:rsidRPr="00A555A1">
        <w:rPr>
          <w:rFonts w:ascii="Century Gothic" w:eastAsia="Century Gothic" w:hAnsi="Century Gothic" w:cs="Century Gothic"/>
          <w:b/>
          <w:bCs/>
        </w:rPr>
        <w:lastRenderedPageBreak/>
        <w:t>REALIZAR EL AVISO CORRESPONDIENTE EN EL PADRÓN NACIONAL DE USUARIOS DE TELEFONÍA MÓVIL;" Y "EL INSTITUTO PARA EFECTOS DEL PADRÓN NACIONAL DE USUARIOS DE TELEFONÍA MÓVIL O" DE LA FRACCIÓN VII DEL ARTÍCULO 190, REFORMADOS MEDIANTE DICHO DECRETO)</w:t>
      </w:r>
      <w:r w:rsidRPr="00A555A1">
        <w:rPr>
          <w:rFonts w:ascii="Century Gothic" w:eastAsia="Century Gothic" w:hAnsi="Century Gothic" w:cs="Century Gothic"/>
        </w:rPr>
        <w:t>, que recopilar y conservar la identidad de todos los titulares de telefonía móvil de manera masiva es innecesario en una sociedad democrática. Esto, debido a que el ordenamiento jurídico mexicano (tanto la LFTR histórica como el CNPP) ya dispone de herramientas investigativas que son "igualmente idóneas" para combatir el delito, pero infinitamente "menos restrictivas" de los derechos a la privacidad (párrafos 283 a 301 del Caso PANAUT).</w:t>
      </w:r>
    </w:p>
    <w:p w14:paraId="29861783"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Esas herramientas, que prevalecen plenamente vigentes y que demuestran la desproporción de los Lineamientos impugnados, son:</w:t>
      </w:r>
    </w:p>
    <w:p w14:paraId="1840C4AC" w14:textId="77777777" w:rsidR="00001DF2" w:rsidRPr="00A555A1" w:rsidRDefault="00000000">
      <w:pPr>
        <w:numPr>
          <w:ilvl w:val="0"/>
          <w:numId w:val="8"/>
        </w:numPr>
        <w:pBdr>
          <w:top w:val="nil"/>
          <w:left w:val="nil"/>
          <w:bottom w:val="nil"/>
          <w:right w:val="nil"/>
          <w:between w:val="nil"/>
        </w:pBdr>
        <w:spacing w:after="0" w:line="360" w:lineRule="auto"/>
        <w:ind w:left="0" w:firstLine="1418"/>
        <w:jc w:val="both"/>
        <w:rPr>
          <w:rFonts w:ascii="Century Gothic" w:eastAsia="Century Gothic" w:hAnsi="Century Gothic" w:cs="Century Gothic"/>
          <w:color w:val="000000"/>
        </w:rPr>
      </w:pPr>
      <w:r w:rsidRPr="00A555A1">
        <w:rPr>
          <w:rFonts w:ascii="Century Gothic" w:eastAsia="Century Gothic" w:hAnsi="Century Gothic" w:cs="Century Gothic"/>
          <w:b/>
          <w:bCs/>
          <w:color w:val="000000"/>
        </w:rPr>
        <w:t>La intervención de comunicaciones privadas:</w:t>
      </w:r>
      <w:r w:rsidRPr="00A555A1">
        <w:rPr>
          <w:rFonts w:ascii="Century Gothic" w:eastAsia="Century Gothic" w:hAnsi="Century Gothic" w:cs="Century Gothic"/>
          <w:color w:val="000000"/>
        </w:rPr>
        <w:t xml:space="preserve"> Medida selectiva, no generalizada, que recae sobre un sospechoso bajo investigación formal.</w:t>
      </w:r>
    </w:p>
    <w:p w14:paraId="07C5CA49" w14:textId="77777777" w:rsidR="00001DF2" w:rsidRPr="00A555A1" w:rsidRDefault="00000000">
      <w:pPr>
        <w:numPr>
          <w:ilvl w:val="0"/>
          <w:numId w:val="8"/>
        </w:numPr>
        <w:pBdr>
          <w:top w:val="nil"/>
          <w:left w:val="nil"/>
          <w:bottom w:val="nil"/>
          <w:right w:val="nil"/>
          <w:between w:val="nil"/>
        </w:pBdr>
        <w:spacing w:after="0" w:line="360" w:lineRule="auto"/>
        <w:ind w:left="0" w:firstLine="1418"/>
        <w:jc w:val="both"/>
        <w:rPr>
          <w:rFonts w:ascii="Century Gothic" w:eastAsia="Century Gothic" w:hAnsi="Century Gothic" w:cs="Century Gothic"/>
          <w:color w:val="000000"/>
        </w:rPr>
      </w:pPr>
      <w:r w:rsidRPr="00A555A1">
        <w:rPr>
          <w:rFonts w:ascii="Century Gothic" w:eastAsia="Century Gothic" w:hAnsi="Century Gothic" w:cs="Century Gothic"/>
          <w:b/>
          <w:bCs/>
          <w:color w:val="000000"/>
        </w:rPr>
        <w:t>La geolocalización en tiempo real y entrega de datos conservados (metadata):</w:t>
      </w:r>
      <w:r w:rsidRPr="00A555A1">
        <w:rPr>
          <w:rFonts w:ascii="Century Gothic" w:eastAsia="Century Gothic" w:hAnsi="Century Gothic" w:cs="Century Gothic"/>
          <w:color w:val="000000"/>
        </w:rPr>
        <w:t xml:space="preserve"> Que permite ubicar un dispositivo móvil vinculado a la comisión de un delito.</w:t>
      </w:r>
    </w:p>
    <w:p w14:paraId="49EE1727" w14:textId="77777777" w:rsidR="00001DF2" w:rsidRPr="00A555A1" w:rsidRDefault="00000000">
      <w:pPr>
        <w:numPr>
          <w:ilvl w:val="0"/>
          <w:numId w:val="8"/>
        </w:numPr>
        <w:pBdr>
          <w:top w:val="nil"/>
          <w:left w:val="nil"/>
          <w:bottom w:val="nil"/>
          <w:right w:val="nil"/>
          <w:between w:val="nil"/>
        </w:pBdr>
        <w:spacing w:line="360" w:lineRule="auto"/>
        <w:ind w:left="0" w:firstLine="1418"/>
        <w:jc w:val="both"/>
        <w:rPr>
          <w:rFonts w:ascii="Century Gothic" w:eastAsia="Century Gothic" w:hAnsi="Century Gothic" w:cs="Century Gothic"/>
          <w:color w:val="000000"/>
        </w:rPr>
      </w:pPr>
      <w:r w:rsidRPr="00A555A1">
        <w:rPr>
          <w:rFonts w:ascii="Century Gothic" w:eastAsia="Century Gothic" w:hAnsi="Century Gothic" w:cs="Century Gothic"/>
          <w:b/>
          <w:bCs/>
          <w:color w:val="000000"/>
        </w:rPr>
        <w:t>El bloqueo y anulación de señales en centros penitenciarios:</w:t>
      </w:r>
      <w:r w:rsidRPr="00A555A1">
        <w:rPr>
          <w:rFonts w:ascii="Century Gothic" w:eastAsia="Century Gothic" w:hAnsi="Century Gothic" w:cs="Century Gothic"/>
          <w:color w:val="000000"/>
        </w:rPr>
        <w:t xml:space="preserve"> La medida más lógica y directa, considerando que el propio Estado (UIF, Comunicado 44 de 2026)</w:t>
      </w:r>
      <w:r w:rsidRPr="00A555A1">
        <w:rPr>
          <w:rFonts w:ascii="Century Gothic" w:eastAsia="Century Gothic" w:hAnsi="Century Gothic" w:cs="Century Gothic"/>
          <w:color w:val="000000"/>
          <w:vertAlign w:val="superscript"/>
        </w:rPr>
        <w:footnoteReference w:id="149"/>
      </w:r>
      <w:r w:rsidRPr="00A555A1">
        <w:rPr>
          <w:rFonts w:ascii="Century Gothic" w:eastAsia="Century Gothic" w:hAnsi="Century Gothic" w:cs="Century Gothic"/>
          <w:color w:val="000000"/>
        </w:rPr>
        <w:t xml:space="preserve"> reconoce que el 70% de las extorsiones nacen intramuros en las cárceles.</w:t>
      </w:r>
    </w:p>
    <w:p w14:paraId="4DFB1BB1"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Al resolver el Caso PANAUT, el Tribunal Pleno de la SCJN fue categórico al establecer que nuestro ordenamiento jurídico ya prevé mecanismos de investigación —como la geolocalización en tiempo real, la entrega de datos conservados y la intervención de comunicaciones privadas contempladas en el CNPP— que resultan igualmente idóneos para el combate a la delincuencia, pero que son estrictamente menos restrictivos de los derechos a la privacidad y a la protección de datos personales.</w:t>
      </w:r>
    </w:p>
    <w:p w14:paraId="35623E0D"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De esta manera, nuestro Máximo Tribunal determinó que estas medidas alternativas resultan constitucionales precisamente porque integran </w:t>
      </w:r>
      <w:r w:rsidRPr="00A555A1">
        <w:rPr>
          <w:rFonts w:ascii="Century Gothic" w:eastAsia="Century Gothic" w:hAnsi="Century Gothic" w:cs="Century Gothic"/>
        </w:rPr>
        <w:lastRenderedPageBreak/>
        <w:t xml:space="preserve">tres salvaguardas democráticas insustituibles de las que carece el sistema de vinculación obligatoria aquí impugnado: </w:t>
      </w:r>
      <w:r w:rsidRPr="00A555A1">
        <w:rPr>
          <w:rFonts w:ascii="Century Gothic" w:eastAsia="Century Gothic" w:hAnsi="Century Gothic" w:cs="Century Gothic"/>
          <w:b/>
          <w:bCs/>
        </w:rPr>
        <w:t>1)</w:t>
      </w:r>
      <w:r w:rsidRPr="00A555A1">
        <w:rPr>
          <w:rFonts w:ascii="Century Gothic" w:eastAsia="Century Gothic" w:hAnsi="Century Gothic" w:cs="Century Gothic"/>
        </w:rPr>
        <w:t xml:space="preserve"> No configuran un sistema de vigilancia masiva o generalizada, sino que operan de manera focalizada, concreta y determinada frente a personas o dispositivos específicos vinculados mediante indicios a una investigación penal; </w:t>
      </w:r>
      <w:r w:rsidRPr="00A555A1">
        <w:rPr>
          <w:rFonts w:ascii="Century Gothic" w:eastAsia="Century Gothic" w:hAnsi="Century Gothic" w:cs="Century Gothic"/>
          <w:b/>
          <w:bCs/>
        </w:rPr>
        <w:t>2)</w:t>
      </w:r>
      <w:r w:rsidRPr="00A555A1">
        <w:rPr>
          <w:rFonts w:ascii="Century Gothic" w:eastAsia="Century Gothic" w:hAnsi="Century Gothic" w:cs="Century Gothic"/>
        </w:rPr>
        <w:t xml:space="preserve"> Son de carácter temporal y no permanente, garantizando la destrucción de los registros una vez cumplido su fin, a diferencia de la retención indefinida de la medida combatida; y, fundamentalmente, </w:t>
      </w:r>
      <w:r w:rsidRPr="00A555A1">
        <w:rPr>
          <w:rFonts w:ascii="Century Gothic" w:eastAsia="Century Gothic" w:hAnsi="Century Gothic" w:cs="Century Gothic"/>
          <w:b/>
          <w:bCs/>
        </w:rPr>
        <w:t>3)</w:t>
      </w:r>
      <w:r w:rsidRPr="00A555A1">
        <w:rPr>
          <w:rFonts w:ascii="Century Gothic" w:eastAsia="Century Gothic" w:hAnsi="Century Gothic" w:cs="Century Gothic"/>
        </w:rPr>
        <w:t xml:space="preserve"> Están indefectiblemente sujetas a la autorización y escrutinio estricto de un control judicial previo.</w:t>
      </w:r>
    </w:p>
    <w:p w14:paraId="14F35004"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Por lo tanto, obligar a toda la población a entregar su biometría e información privada sin control judicial, de forma permanente y masiva, es una medida inconstitucional e innecesaria en una sociedad democrática, pues el Estado ya cuenta con estas herramientas procesales eficaces (párrafos 384. a 392 del Caso PANAUT).</w:t>
      </w:r>
    </w:p>
    <w:p w14:paraId="55517461"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Es en este punto donde se revela el agravio más insidioso y, al mismo tiempo, más devastador del entramado normativo que hoy se impugna, la asimetría inconstitucional en el control judicial.</w:t>
      </w:r>
    </w:p>
    <w:p w14:paraId="30EA9FA8"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Al analizar las fracciones análogas a las del artículo 183 de la LMTR vigente, descubrimos que el legislador establece como única y raquítica salvaguarda expresa lo siguiente: "Exclusivamente la autoridad judicial federal, a petición de la autoridad federal que faculte la ley o del titular del Ministerio Público... podrá autorizar la intervención de cualquier comunicación privada".</w:t>
      </w:r>
    </w:p>
    <w:p w14:paraId="33FBB185"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Sin embargo, para todo el resto del abanico probatorio e invasivo —es decir, para acceder a la base de datos de identidad de los usuarios (el nuevo padrón encubierto), a las validaciones de identidad, a la geolocalización ininterrumpida en tiempo real y a la retención y entrega de datos de tráfico o metadatos (quién llamó a quién, a qué hora, cuánto duró, desde qué antena o torre de transmisión)—, </w:t>
      </w:r>
      <w:r w:rsidRPr="00A555A1">
        <w:rPr>
          <w:rFonts w:ascii="Century Gothic" w:eastAsia="Century Gothic" w:hAnsi="Century Gothic" w:cs="Century Gothic"/>
          <w:b/>
          <w:bCs/>
        </w:rPr>
        <w:t>la Ley no exige de manera ineludible, expresa e incondicionada una orden judicial previa</w:t>
      </w:r>
      <w:r w:rsidRPr="00A555A1">
        <w:rPr>
          <w:rFonts w:ascii="Century Gothic" w:eastAsia="Century Gothic" w:hAnsi="Century Gothic" w:cs="Century Gothic"/>
        </w:rPr>
        <w:t>.</w:t>
      </w:r>
    </w:p>
    <w:p w14:paraId="59D60BB7" w14:textId="37C1AA41"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Esta omisión legislativa soslaya el contenido del artículo 16 de la CPEUM y desafía el corpus </w:t>
      </w:r>
      <w:r w:rsidR="00DE3BA9">
        <w:rPr>
          <w:rFonts w:ascii="Century Gothic" w:eastAsia="Century Gothic" w:hAnsi="Century Gothic" w:cs="Century Gothic"/>
        </w:rPr>
        <w:t>i</w:t>
      </w:r>
      <w:r w:rsidRPr="00A555A1">
        <w:rPr>
          <w:rFonts w:ascii="Century Gothic" w:eastAsia="Century Gothic" w:hAnsi="Century Gothic" w:cs="Century Gothic"/>
        </w:rPr>
        <w:t>uris del Derecho Internacional de los Derechos Humanos. La inviolabilidad de las comunicaciones no se agota en el "secreto" del contenido de la conversación (las palabras pronunciadas), pues como ha quedado demostrado con el precedente del P</w:t>
      </w:r>
      <w:r w:rsidR="00DF1191" w:rsidRPr="00A555A1">
        <w:rPr>
          <w:rFonts w:ascii="Century Gothic" w:eastAsia="Century Gothic" w:hAnsi="Century Gothic" w:cs="Century Gothic"/>
        </w:rPr>
        <w:t>leno</w:t>
      </w:r>
      <w:r w:rsidRPr="00A555A1">
        <w:rPr>
          <w:rFonts w:ascii="Century Gothic" w:eastAsia="Century Gothic" w:hAnsi="Century Gothic" w:cs="Century Gothic"/>
        </w:rPr>
        <w:t xml:space="preserve"> de la SCJN la </w:t>
      </w:r>
      <w:r w:rsidRPr="00A555A1">
        <w:rPr>
          <w:rFonts w:ascii="Century Gothic" w:eastAsia="Century Gothic" w:hAnsi="Century Gothic" w:cs="Century Gothic"/>
        </w:rPr>
        <w:lastRenderedPageBreak/>
        <w:t xml:space="preserve">jurisprudencia y la doctrina más avanzada han demostrado que los </w:t>
      </w:r>
      <w:r w:rsidRPr="00A555A1">
        <w:rPr>
          <w:rFonts w:ascii="Century Gothic" w:eastAsia="Century Gothic" w:hAnsi="Century Gothic" w:cs="Century Gothic"/>
          <w:b/>
          <w:bCs/>
        </w:rPr>
        <w:t>datos de tráfico (los metadatos)</w:t>
      </w:r>
      <w:r w:rsidRPr="00A555A1">
        <w:rPr>
          <w:rFonts w:ascii="Century Gothic" w:eastAsia="Century Gothic" w:hAnsi="Century Gothic" w:cs="Century Gothic"/>
        </w:rPr>
        <w:t xml:space="preserve"> y la </w:t>
      </w:r>
      <w:r w:rsidRPr="00A555A1">
        <w:rPr>
          <w:rFonts w:ascii="Century Gothic" w:eastAsia="Century Gothic" w:hAnsi="Century Gothic" w:cs="Century Gothic"/>
          <w:b/>
          <w:bCs/>
        </w:rPr>
        <w:t>identidad geolocalizada</w:t>
      </w:r>
      <w:r w:rsidRPr="00A555A1">
        <w:rPr>
          <w:rFonts w:ascii="Century Gothic" w:eastAsia="Century Gothic" w:hAnsi="Century Gothic" w:cs="Century Gothic"/>
        </w:rPr>
        <w:t xml:space="preserve"> revelan el "quién, cuándo, dónde y con quién", lo cual permite construir perfiles y radiografías vitales de los ciudadanos que resultan incluso más intrusivas y perjudiciales para la intimidad que el propio contenido de una charla esporádica.</w:t>
      </w:r>
    </w:p>
    <w:p w14:paraId="038C4181" w14:textId="2D4EE653"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En efecto, la Corte IDH, al dictar sentencia en el </w:t>
      </w:r>
      <w:r w:rsidRPr="00A555A1">
        <w:rPr>
          <w:rFonts w:ascii="Century Gothic" w:eastAsia="Century Gothic" w:hAnsi="Century Gothic" w:cs="Century Gothic"/>
          <w:i/>
          <w:iCs/>
        </w:rPr>
        <w:t>Caso Escher y otros Vs. Brasil</w:t>
      </w:r>
      <w:r w:rsidRPr="00A555A1">
        <w:rPr>
          <w:rFonts w:ascii="Century Gothic" w:eastAsia="Century Gothic" w:hAnsi="Century Gothic" w:cs="Century Gothic"/>
          <w:i/>
          <w:iCs/>
          <w:vertAlign w:val="superscript"/>
        </w:rPr>
        <w:footnoteReference w:id="150"/>
      </w:r>
      <w:r w:rsidRPr="00A555A1">
        <w:rPr>
          <w:rFonts w:ascii="Century Gothic" w:eastAsia="Century Gothic" w:hAnsi="Century Gothic" w:cs="Century Gothic"/>
        </w:rPr>
        <w:t xml:space="preserve"> (citado en el Caso PANAUT) destrozó esta artificial distinción, estableciendo de manera vinculante que la protección a la privacidad y la inviolabilidad aplica con idéntico rigor al contenido que a los datos registrales:</w:t>
      </w:r>
    </w:p>
    <w:p w14:paraId="36B9930F" w14:textId="77777777" w:rsidR="00001DF2" w:rsidRPr="00A555A1" w:rsidRDefault="00000000">
      <w:pPr>
        <w:spacing w:line="360" w:lineRule="auto"/>
        <w:ind w:left="851" w:right="618"/>
        <w:jc w:val="both"/>
        <w:rPr>
          <w:rFonts w:ascii="Century Gothic" w:eastAsia="Century Gothic" w:hAnsi="Century Gothic" w:cs="Century Gothic"/>
          <w:sz w:val="20"/>
          <w:szCs w:val="20"/>
        </w:rPr>
      </w:pPr>
      <w:r w:rsidRPr="00A555A1">
        <w:rPr>
          <w:rFonts w:ascii="Century Gothic" w:eastAsia="Century Gothic" w:hAnsi="Century Gothic" w:cs="Century Gothic"/>
          <w:i/>
          <w:iCs/>
          <w:sz w:val="20"/>
          <w:szCs w:val="20"/>
        </w:rPr>
        <w:t>"114. (...) el artículo 11 de la Convención protege la privacidad de las comunicaciones, independientemente de su contenido y del medio a través del cual se realicen. Así, se viola la privacidad no solo cuando se capta el contenido de la conversación, sino también cuando se registran y divulgan los datos de tráfico, como los números marcados, la duración de las llamadas y la identidad de los titulares de las líneas."</w:t>
      </w:r>
    </w:p>
    <w:p w14:paraId="084B6BD6"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Al dejar a la libre discrecionalidad de las autoridades ministeriales o administrativas el requerimiento de la "Prueba de Vida", la CURP, la geolocalización y los metadatos de tráfico de los millones de ciudadanos obligados a registrarse, </w:t>
      </w:r>
      <w:r w:rsidRPr="00A555A1">
        <w:rPr>
          <w:rFonts w:ascii="Century Gothic" w:eastAsia="Century Gothic" w:hAnsi="Century Gothic" w:cs="Century Gothic"/>
          <w:b/>
          <w:bCs/>
        </w:rPr>
        <w:t>sin la ineludible intervención, control y ponderación de un Juez Federal</w:t>
      </w:r>
      <w:r w:rsidRPr="00A555A1">
        <w:rPr>
          <w:rFonts w:ascii="Century Gothic" w:eastAsia="Century Gothic" w:hAnsi="Century Gothic" w:cs="Century Gothic"/>
        </w:rPr>
        <w:t>, la Ley y los Lineamientos impugnados legalizan, legitiman y fomentan un régimen de injerencias arbitrarias, pesquisas generales y espionaje masivo e institucionalizado.</w:t>
      </w:r>
    </w:p>
    <w:p w14:paraId="5074ABDC" w14:textId="65D13291"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El Pleno de la SCJN en </w:t>
      </w:r>
      <w:r w:rsidR="00067C73" w:rsidRPr="00A555A1">
        <w:rPr>
          <w:rFonts w:ascii="Century Gothic" w:eastAsia="Century Gothic" w:hAnsi="Century Gothic" w:cs="Century Gothic"/>
        </w:rPr>
        <w:t>el Caso PANAUT</w:t>
      </w:r>
      <w:r w:rsidRPr="00A555A1">
        <w:rPr>
          <w:rFonts w:ascii="Century Gothic" w:eastAsia="Century Gothic" w:hAnsi="Century Gothic" w:cs="Century Gothic"/>
        </w:rPr>
        <w:t xml:space="preserve"> identificó este preciso riesgo</w:t>
      </w:r>
      <w:r w:rsidR="00067C73" w:rsidRPr="00A555A1">
        <w:rPr>
          <w:rFonts w:ascii="Century Gothic" w:eastAsia="Century Gothic" w:hAnsi="Century Gothic" w:cs="Century Gothic"/>
        </w:rPr>
        <w:t>, al advertir que</w:t>
      </w:r>
      <w:r w:rsidRPr="00A555A1">
        <w:rPr>
          <w:rFonts w:ascii="Century Gothic" w:eastAsia="Century Gothic" w:hAnsi="Century Gothic" w:cs="Century Gothic"/>
        </w:rPr>
        <w:t xml:space="preserve"> permitir el acceso a estos padrones sin salvaguardas jurisdiccionales anula la democracia. Al establecer un control judicial exclusivo, celoso e irrestricto únicamente para la "intervención de comunicaciones", pero omitirlo deliberadamente y dejar una vía expedita (directa o administrativa) para acceder a la identidad, ubicación y metadatos del usuario, el sistema normativo adolece de una deficiencia estructural insalvable.</w:t>
      </w:r>
    </w:p>
    <w:p w14:paraId="26F1FCD4"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En consecuencia, la exigencia de proporcionar datos de personales sensibles y someterse a mecanismos biométricos bajo la apariencia de una “prueba de vida”, con el fin de alimentar una base de datos cuyo acceso se permite sin control judicial, constituye una transgresión </w:t>
      </w:r>
      <w:r w:rsidRPr="00A555A1">
        <w:rPr>
          <w:rFonts w:ascii="Century Gothic" w:eastAsia="Century Gothic" w:hAnsi="Century Gothic" w:cs="Century Gothic"/>
        </w:rPr>
        <w:lastRenderedPageBreak/>
        <w:t>directa a los artículos 14, 16 y 20 de la CPEUM, por lo que tal medida vulnera el principio de legalidad y seguridad jurídica, al imponer restricciones sin ley previa que las autorice y sin intervención de autoridad judicial competente.</w:t>
      </w:r>
    </w:p>
    <w:p w14:paraId="2C7D05B1"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Asimismo, la suspensión del servicio de telefonía como sanción por la negativa a integrar dicha base de datos configura un acto de autoridad que afecta de manera inmediata y directa derechos fundamentales, lo que encuadra en el supuesto del artículo 22 de la LAmp, relativo a actos que importen privación de derechos sin resolución judicial</w:t>
      </w:r>
    </w:p>
    <w:p w14:paraId="53502560" w14:textId="4C4C6ED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Por tanto, conforme a lo dispuesto en los artículos 128 y 147 de la Ley de Amparo, procede decretar la suspensión definitiva y, en su momento, conceder el </w:t>
      </w:r>
      <w:r w:rsidR="004F3C91" w:rsidRPr="00A555A1">
        <w:rPr>
          <w:rFonts w:ascii="Century Gothic" w:eastAsia="Century Gothic" w:hAnsi="Century Gothic" w:cs="Century Gothic"/>
        </w:rPr>
        <w:t>amparo</w:t>
      </w:r>
      <w:r w:rsidRPr="00A555A1">
        <w:rPr>
          <w:rFonts w:ascii="Century Gothic" w:eastAsia="Century Gothic" w:hAnsi="Century Gothic" w:cs="Century Gothic"/>
        </w:rPr>
        <w:t xml:space="preserve"> de la Justicia Federal, declarando la inconstitucionalidad de las normas que sustentan la medida, al ser contrarias al orden constitucional y carecer de proporcionalidad y razonabilidad.</w:t>
      </w:r>
    </w:p>
    <w:p w14:paraId="44B6B80E" w14:textId="77777777" w:rsidR="00001DF2" w:rsidRPr="00A555A1" w:rsidRDefault="00001DF2">
      <w:pPr>
        <w:spacing w:line="360" w:lineRule="auto"/>
        <w:jc w:val="both"/>
        <w:rPr>
          <w:rFonts w:ascii="Century Gothic" w:eastAsia="Century Gothic" w:hAnsi="Century Gothic" w:cs="Century Gothic"/>
          <w:b/>
          <w:bCs/>
        </w:rPr>
      </w:pPr>
    </w:p>
    <w:p w14:paraId="30BFC54E" w14:textId="299DF11F" w:rsidR="00001DF2" w:rsidRPr="00F1097C" w:rsidRDefault="00E309B9">
      <w:pPr>
        <w:spacing w:line="360" w:lineRule="auto"/>
        <w:jc w:val="both"/>
        <w:rPr>
          <w:rFonts w:ascii="Century Gothic" w:eastAsia="Century Gothic" w:hAnsi="Century Gothic" w:cs="Century Gothic"/>
          <w:b/>
          <w:bCs/>
        </w:rPr>
      </w:pPr>
      <w:r w:rsidRPr="00E309B9">
        <w:rPr>
          <w:rFonts w:ascii="Century Gothic" w:eastAsia="Century Gothic" w:hAnsi="Century Gothic" w:cs="Century Gothic"/>
          <w:bCs/>
        </w:rPr>
        <w:t>{{</w:t>
      </w:r>
      <w:r w:rsidR="00F1097C" w:rsidRPr="00E309B9">
        <w:rPr>
          <w:rFonts w:ascii="Century Gothic" w:eastAsia="Century Gothic" w:hAnsi="Century Gothic" w:cs="Century Gothic"/>
          <w:bCs/>
        </w:rPr>
        <w:t>INICIA_CONCEPTO_SEXTO</w:t>
      </w:r>
      <w:r w:rsidRPr="00E309B9">
        <w:rPr>
          <w:rFonts w:ascii="Century Gothic" w:eastAsia="Century Gothic" w:hAnsi="Century Gothic" w:cs="Century Gothic"/>
          <w:bCs/>
        </w:rPr>
        <w:t>}}</w:t>
      </w:r>
      <w:r w:rsidR="00F1097C">
        <w:rPr>
          <w:rFonts w:ascii="Century Gothic" w:eastAsia="Century Gothic" w:hAnsi="Century Gothic" w:cs="Century Gothic"/>
          <w:b/>
          <w:bCs/>
        </w:rPr>
        <w:t xml:space="preserve"> </w:t>
      </w:r>
      <w:r w:rsidR="002448DD" w:rsidRPr="00A555A1">
        <w:rPr>
          <w:rFonts w:ascii="Century Gothic" w:eastAsia="Century Gothic" w:hAnsi="Century Gothic" w:cs="Century Gothic"/>
          <w:b/>
          <w:bCs/>
        </w:rPr>
        <w:t>SEXTO. LA INHABILITACIÓN DE LA LÍNEA TELEFÓNICA POR LA NEGATIVA A ENTREGAR DATOS PERSONA</w:t>
      </w:r>
      <w:r w:rsidR="00A602D2">
        <w:rPr>
          <w:rFonts w:ascii="Century Gothic" w:eastAsia="Century Gothic" w:hAnsi="Century Gothic" w:cs="Century Gothic"/>
          <w:b/>
          <w:bCs/>
        </w:rPr>
        <w:t>LE</w:t>
      </w:r>
      <w:r w:rsidR="002448DD" w:rsidRPr="00A555A1">
        <w:rPr>
          <w:rFonts w:ascii="Century Gothic" w:eastAsia="Century Gothic" w:hAnsi="Century Gothic" w:cs="Century Gothic"/>
          <w:b/>
          <w:bCs/>
        </w:rPr>
        <w:t>S Y SENSIBLES, COMO LOS BIOMÉTRICOS Y LA PRUEBA DE VIDA CONSTITUYE UNA VIOLACIÓN AL DERECHO HUMANO A LA INCLUSIÓN FINANCIERA, AL PRINCIPIO DE PROGRESIVIDAD, A LA LIBERTAD DE TRABAJO Y AL LIBRE DESARROLLO DE LA PERSONALIDAD, VULNERANDO LOS ARTÍCULOS 1o., 5o. Y 16 DE LA CPEUM.</w:t>
      </w:r>
    </w:p>
    <w:p w14:paraId="48012178"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El sistema normativo combatido (artículo 103 de la LMTR y los Lineamientos de la CRT) condiciona la prestación del servicio de telefonía móvil a la entrega coaccionada de datos personales y biométricos bajo la amenaza de "Desvinculación" o suspensión de la línea, trasciende de manera desproporcionada hacia la esfera patrimonial de la suscrita persona quejosa, vulnerando frontalmente su libertad de trabajo, su libre desarrollo de la personalidad y su derecho humano a la inclusión financiera amparado bajo el principio de progresividad.</w:t>
      </w:r>
    </w:p>
    <w:p w14:paraId="6E6DD427" w14:textId="464809F2"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Previo a profundizar en la afectación realizada por la </w:t>
      </w:r>
      <w:r w:rsidR="00597C8B" w:rsidRPr="00A555A1">
        <w:rPr>
          <w:rFonts w:ascii="Century Gothic" w:eastAsia="Century Gothic" w:hAnsi="Century Gothic" w:cs="Century Gothic"/>
        </w:rPr>
        <w:t>responsables</w:t>
      </w:r>
      <w:r w:rsidRPr="00A555A1">
        <w:rPr>
          <w:rFonts w:ascii="Century Gothic" w:eastAsia="Century Gothic" w:hAnsi="Century Gothic" w:cs="Century Gothic"/>
        </w:rPr>
        <w:t xml:space="preserve">, resulta imperativo precisar el marco de protección que las normas combatidas vulneran frontalmente. </w:t>
      </w:r>
    </w:p>
    <w:p w14:paraId="0670DB07"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En primer término, el artículo 1º de la CPEUM consagra la obligación estatal de garantizar los derechos bajo el principio de progresividad y reconoce el valor superior de la dignidad humana, de la cual </w:t>
      </w:r>
      <w:r w:rsidRPr="00A555A1">
        <w:rPr>
          <w:rFonts w:ascii="Century Gothic" w:eastAsia="Century Gothic" w:hAnsi="Century Gothic" w:cs="Century Gothic"/>
        </w:rPr>
        <w:lastRenderedPageBreak/>
        <w:t xml:space="preserve">emana directamente el derecho al libre desarrollo de la personalidad; esto exige el respeto absoluto a la autonomía del individuo para elegir su proyecto de vida, materializar sus metas y disponer libremente de su esfera personal y económica. </w:t>
      </w:r>
    </w:p>
    <w:p w14:paraId="328F3C96"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Por su parte, el artículo 5º estatuye la libertad de trabajo, garantizando el derecho inalienable de toda persona a percibir y disfrutar sin obstáculos de la justa retribución o producto de su trabajo siempre . </w:t>
      </w:r>
    </w:p>
    <w:p w14:paraId="3C14244E"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Por último, el artículo 16 tutela el derecho a la seguridad jurídica, la estricta protección de los datos personales y el resguardo de la propiedad, prohibiendo de manera categórica que el ciudadano sufra actos de molestia o injerencias arbitrarias en su persona, papeles o posesiones —lo que en la arquitectura contemporánea comprende ineludiblemente su ecosistema digital y sus instrumentos de acceso patrimonial—.</w:t>
      </w:r>
    </w:p>
    <w:p w14:paraId="6BC187B2"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Ahora bien, para evidenciar la magnitud inconstitucional de esta transgresión, el presente concepto de violación se divide en tres apartados fundamentales:</w:t>
      </w:r>
    </w:p>
    <w:p w14:paraId="7A7F9CD0" w14:textId="77777777" w:rsidR="00001DF2" w:rsidRPr="00A555A1" w:rsidRDefault="00000000">
      <w:pPr>
        <w:spacing w:line="360" w:lineRule="auto"/>
        <w:jc w:val="center"/>
        <w:rPr>
          <w:rFonts w:ascii="Century Gothic" w:eastAsia="Century Gothic" w:hAnsi="Century Gothic" w:cs="Century Gothic"/>
        </w:rPr>
      </w:pPr>
      <w:r w:rsidRPr="00A555A1">
        <w:rPr>
          <w:rFonts w:ascii="Century Gothic" w:eastAsia="Century Gothic" w:hAnsi="Century Gothic" w:cs="Century Gothic"/>
          <w:b/>
          <w:bCs/>
        </w:rPr>
        <w:t>A. EL ACCESO AL CRÉDITO Y LA INCLUSIÓN FINANCIERA COMO DERECHO HUMANO FRENTE AL PRINCIPIO DE PROGRESIVIDAD.</w:t>
      </w:r>
    </w:p>
    <w:p w14:paraId="0CAFE029"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De acuerdo con el precedente derivado del Amparo Directo 507/2019</w:t>
      </w:r>
      <w:r w:rsidRPr="00A555A1">
        <w:rPr>
          <w:rFonts w:ascii="Century Gothic" w:eastAsia="Century Gothic" w:hAnsi="Century Gothic" w:cs="Century Gothic"/>
          <w:vertAlign w:val="superscript"/>
        </w:rPr>
        <w:footnoteReference w:id="151"/>
      </w:r>
      <w:r w:rsidRPr="00A555A1">
        <w:rPr>
          <w:rFonts w:ascii="Century Gothic" w:eastAsia="Century Gothic" w:hAnsi="Century Gothic" w:cs="Century Gothic"/>
        </w:rPr>
        <w:t xml:space="preserve"> que dio origen a la tesis V.3o.C.T.1 CS (10a.)</w:t>
      </w:r>
      <w:r w:rsidRPr="00A555A1">
        <w:rPr>
          <w:rFonts w:ascii="Century Gothic" w:eastAsia="Century Gothic" w:hAnsi="Century Gothic" w:cs="Century Gothic"/>
          <w:vertAlign w:val="superscript"/>
        </w:rPr>
        <w:footnoteReference w:id="152"/>
      </w:r>
      <w:r w:rsidRPr="00A555A1">
        <w:rPr>
          <w:rFonts w:ascii="Century Gothic" w:eastAsia="Century Gothic" w:hAnsi="Century Gothic" w:cs="Century Gothic"/>
        </w:rPr>
        <w:t xml:space="preserve">, resuelto por el </w:t>
      </w:r>
      <w:r w:rsidRPr="00A555A1">
        <w:rPr>
          <w:rFonts w:ascii="Century Gothic" w:eastAsia="Century Gothic" w:hAnsi="Century Gothic" w:cs="Century Gothic"/>
        </w:rPr>
        <w:lastRenderedPageBreak/>
        <w:t>Tercer Tribunal Colegiado en Materias Civil y de Trabajo del Quinto Circuito, el acceso al crédito financiero constituye un derecho humano respecto del cual el Estado Mexicano está obligado a garantizar las condiciones mínimas para obtenerlo.</w:t>
      </w:r>
    </w:p>
    <w:p w14:paraId="52373D77"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Al resolver dicho precedente, el Tribunal Colegiado sostuvo que, a la luz del artículo 1o. constitucional, el principio de progresividad impone al Estado la obligación positiva de promover los derechos fundamentales y la prohibición absoluta de regresividad. Apoyándose en estándares de la Organización de las Naciones Unidas y el Banco Mundial, el colegiado determinó que la inclusión financiera es la vía primordial para reducir la pobreza e impulsar la prosperidad, pues el tener acceso a una cuenta de transacciones es el primer paso hacia una inclusión más amplia (ahorro, pagos, seguros y créditos), lo cual evita que la población económicamente vulnerable caiga en manos de la usura y la informalidad.</w:t>
      </w:r>
    </w:p>
    <w:p w14:paraId="2C3DDD64"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Este entendimiento se robustece y se vuelve vinculante a la luz de la doctrina jurisprudencial establecida por la extinta Segunda Sala de la SCJN al resolver el Amparo Directo en Revisión 2425/2015</w:t>
      </w:r>
      <w:r w:rsidRPr="00A555A1">
        <w:rPr>
          <w:rFonts w:ascii="Century Gothic" w:eastAsia="Century Gothic" w:hAnsi="Century Gothic" w:cs="Century Gothic"/>
          <w:vertAlign w:val="superscript"/>
        </w:rPr>
        <w:footnoteReference w:id="153"/>
      </w:r>
      <w:r w:rsidRPr="00A555A1">
        <w:rPr>
          <w:rFonts w:ascii="Century Gothic" w:eastAsia="Century Gothic" w:hAnsi="Century Gothic" w:cs="Century Gothic"/>
        </w:rPr>
        <w:t xml:space="preserve">, de la cual derivó la jurisprudencia </w:t>
      </w:r>
      <w:r w:rsidRPr="00A555A1">
        <w:rPr>
          <w:rFonts w:ascii="Century Gothic" w:eastAsia="Century Gothic" w:hAnsi="Century Gothic" w:cs="Century Gothic"/>
          <w:b/>
          <w:bCs/>
        </w:rPr>
        <w:t>2a./J. 35/2019 (10a.)</w:t>
      </w:r>
      <w:r w:rsidRPr="00A555A1">
        <w:rPr>
          <w:rFonts w:ascii="Century Gothic" w:eastAsia="Century Gothic" w:hAnsi="Century Gothic" w:cs="Century Gothic"/>
          <w:vertAlign w:val="superscript"/>
        </w:rPr>
        <w:footnoteReference w:id="154"/>
      </w:r>
      <w:r w:rsidRPr="00A555A1">
        <w:rPr>
          <w:rFonts w:ascii="Century Gothic" w:eastAsia="Century Gothic" w:hAnsi="Century Gothic" w:cs="Century Gothic"/>
        </w:rPr>
        <w:t xml:space="preserve">. En dicho precedente, el Máximo </w:t>
      </w:r>
      <w:r w:rsidRPr="00A555A1">
        <w:rPr>
          <w:rFonts w:ascii="Century Gothic" w:eastAsia="Century Gothic" w:hAnsi="Century Gothic" w:cs="Century Gothic"/>
        </w:rPr>
        <w:lastRenderedPageBreak/>
        <w:t>Tribunal determinó que el principio de progresividad irradia a la totalidad de los derechos humanos y exige a las autoridades incrementar gradualmente su promoción y garantía, lo que supone definir metas de mejora a corto, mediano y largo plazo.</w:t>
      </w:r>
    </w:p>
    <w:p w14:paraId="5C631307"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A la par de este mandato de avance, la SCJN principio de progresividad cuenta con una estricta expresión de </w:t>
      </w:r>
      <w:r w:rsidRPr="00A555A1">
        <w:rPr>
          <w:rFonts w:ascii="Century Gothic" w:eastAsia="Century Gothic" w:hAnsi="Century Gothic" w:cs="Century Gothic"/>
          <w:b/>
          <w:bCs/>
        </w:rPr>
        <w:t>"no regresividad"</w:t>
      </w:r>
      <w:r w:rsidRPr="00A555A1">
        <w:rPr>
          <w:rFonts w:ascii="Century Gothic" w:eastAsia="Century Gothic" w:hAnsi="Century Gothic" w:cs="Century Gothic"/>
        </w:rPr>
        <w:t>, la cual le impide al Estado adoptar medidas que, sin plena justificación constitucional, disminuyan el nivel de protección o disfrute de los derechos ya alcanzado por las personas. Si bien esta prohibición no es absoluta, la SCJN sentó el criterio de que cualquier medida estatal que restrinja o disminuya un derecho será considerada una legislación inconstitucional y regresiva, a menos que el Estado demuestre fehacientemente que dicha disminución tiene como finalidad esencial incrementar el grado de tutela de otro derecho humano y que genera un equilibrio razonable, sin afectar de manera desmedida la eficacia de los derechos sacrificados.</w:t>
      </w:r>
    </w:p>
    <w:p w14:paraId="5FDDDB3E"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Al contrastar este parámetro de regularidad constitucional —tanto del Colegiado de Circuito como la SCJN— con la exigencia del registro obligatorio de líneas telefónicas móviles, es flagrante la violación, pues el Estado, en lugar de garantizar las condiciones mínimas para el acceso al sistema financiero y velar por el equilibrio razonable exigido por la SCJN, impone una barrera tecnológica desmedida y regresiva, a saber: quien vea suspendida su línea telefónica por negarse a entregar datos personales y personales sensibles (biometría), perderá automáticamente su acceso al sistema financiero formal.</w:t>
      </w:r>
    </w:p>
    <w:p w14:paraId="5D30C259" w14:textId="5C74A169" w:rsidR="00001DF2" w:rsidRPr="00A555A1" w:rsidRDefault="00000000">
      <w:pPr>
        <w:spacing w:line="360" w:lineRule="auto"/>
        <w:jc w:val="center"/>
        <w:rPr>
          <w:rFonts w:ascii="Century Gothic" w:eastAsia="Century Gothic" w:hAnsi="Century Gothic" w:cs="Century Gothic"/>
        </w:rPr>
      </w:pPr>
      <w:r w:rsidRPr="00A555A1">
        <w:rPr>
          <w:rFonts w:ascii="Century Gothic" w:eastAsia="Century Gothic" w:hAnsi="Century Gothic" w:cs="Century Gothic"/>
          <w:b/>
          <w:bCs/>
        </w:rPr>
        <w:t>B. LA LÍNEA MÓVIL COMO LLAVE INSTITUCIONAL DEL ECOSISTEMA BANCARIO</w:t>
      </w:r>
    </w:p>
    <w:p w14:paraId="329CAE98" w14:textId="0714C58E"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La expulsión del sistema financiero </w:t>
      </w:r>
      <w:r w:rsidR="00F75C08" w:rsidRPr="00A555A1">
        <w:rPr>
          <w:rFonts w:ascii="Century Gothic" w:eastAsia="Century Gothic" w:hAnsi="Century Gothic" w:cs="Century Gothic"/>
        </w:rPr>
        <w:t xml:space="preserve">como consecuencia de la suspensión de la línea telefónica </w:t>
      </w:r>
      <w:r w:rsidRPr="00A555A1">
        <w:rPr>
          <w:rFonts w:ascii="Century Gothic" w:eastAsia="Century Gothic" w:hAnsi="Century Gothic" w:cs="Century Gothic"/>
        </w:rPr>
        <w:t>no es una especulación, sino una consecuencia jurídica y material ineludible dictada por la propia arquitectura del Sistema Financiero Mexicano.</w:t>
      </w:r>
    </w:p>
    <w:p w14:paraId="3FE2C407"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lastRenderedPageBreak/>
        <w:t>En efecto la legislación bancaria actual erige al número celular como el mecanismo de acceso y validación indispensable para la bancarización.</w:t>
      </w:r>
    </w:p>
    <w:p w14:paraId="79870CF7"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En primer lugar, el artículo 52</w:t>
      </w:r>
      <w:r w:rsidRPr="00A555A1">
        <w:rPr>
          <w:rFonts w:ascii="Century Gothic" w:eastAsia="Century Gothic" w:hAnsi="Century Gothic" w:cs="Century Gothic"/>
          <w:vertAlign w:val="superscript"/>
        </w:rPr>
        <w:footnoteReference w:id="155"/>
      </w:r>
      <w:r w:rsidRPr="00A555A1">
        <w:rPr>
          <w:rFonts w:ascii="Century Gothic" w:eastAsia="Century Gothic" w:hAnsi="Century Gothic" w:cs="Century Gothic"/>
        </w:rPr>
        <w:t xml:space="preserve"> de la Ley de Instituciones de Crédito (en adelante, LIC) faculta el uso de medios electrónicos y tecnologías de autenticación para celebrar operaciones y prestar servicios. </w:t>
      </w:r>
    </w:p>
    <w:p w14:paraId="4D096A6C"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Reglamentando lo anterior, la Circular Única de Bancos (en adelante, CUB)</w:t>
      </w:r>
      <w:r w:rsidRPr="00A555A1">
        <w:rPr>
          <w:rFonts w:ascii="Century Gothic" w:eastAsia="Century Gothic" w:hAnsi="Century Gothic" w:cs="Century Gothic"/>
          <w:vertAlign w:val="superscript"/>
        </w:rPr>
        <w:footnoteReference w:id="156"/>
      </w:r>
      <w:r w:rsidRPr="00A555A1">
        <w:rPr>
          <w:rFonts w:ascii="Century Gothic" w:eastAsia="Century Gothic" w:hAnsi="Century Gothic" w:cs="Century Gothic"/>
        </w:rPr>
        <w:t xml:space="preserve"> define estructuralmente los servicios financieros estableciendo una vinculación unívoca entre el dispositivo móvil y la identidad financiera del usuario:</w:t>
      </w:r>
    </w:p>
    <w:p w14:paraId="7D449376" w14:textId="77777777" w:rsidR="00001DF2" w:rsidRPr="00A555A1" w:rsidRDefault="00000000">
      <w:pPr>
        <w:numPr>
          <w:ilvl w:val="0"/>
          <w:numId w:val="6"/>
        </w:numPr>
        <w:spacing w:line="360" w:lineRule="auto"/>
        <w:ind w:left="0" w:firstLine="1418"/>
        <w:jc w:val="both"/>
        <w:rPr>
          <w:rFonts w:ascii="Century Gothic" w:eastAsia="Century Gothic" w:hAnsi="Century Gothic" w:cs="Century Gothic"/>
        </w:rPr>
      </w:pPr>
      <w:r w:rsidRPr="00A555A1">
        <w:rPr>
          <w:rFonts w:ascii="Century Gothic" w:eastAsia="Century Gothic" w:hAnsi="Century Gothic" w:cs="Century Gothic"/>
          <w:b/>
          <w:bCs/>
        </w:rPr>
        <w:t>Banca Móvil (Artículo 1, fracción XVI):</w:t>
      </w:r>
      <w:r w:rsidRPr="00A555A1">
        <w:rPr>
          <w:rFonts w:ascii="Century Gothic" w:eastAsia="Century Gothic" w:hAnsi="Century Gothic" w:cs="Century Gothic"/>
        </w:rPr>
        <w:t xml:space="preserve"> Servicio donde el dispositivo de acceso se encuentra "</w:t>
      </w:r>
      <w:r w:rsidRPr="00A555A1">
        <w:rPr>
          <w:rFonts w:ascii="Century Gothic" w:eastAsia="Century Gothic" w:hAnsi="Century Gothic" w:cs="Century Gothic"/>
          <w:i/>
          <w:iCs/>
        </w:rPr>
        <w:t>asociado con correspondencia unívoca al Identificador de Usuario, mediante cualquier información o datos únicos del propio Dispositivo de Acceso"</w:t>
      </w:r>
      <w:r w:rsidRPr="00A555A1">
        <w:rPr>
          <w:rFonts w:ascii="Century Gothic" w:eastAsia="Century Gothic" w:hAnsi="Century Gothic" w:cs="Century Gothic"/>
        </w:rPr>
        <w:t>.</w:t>
      </w:r>
    </w:p>
    <w:p w14:paraId="4ADA1B17" w14:textId="77777777" w:rsidR="00001DF2" w:rsidRPr="00A555A1" w:rsidRDefault="00000000">
      <w:pPr>
        <w:numPr>
          <w:ilvl w:val="0"/>
          <w:numId w:val="6"/>
        </w:numPr>
        <w:spacing w:line="360" w:lineRule="auto"/>
        <w:ind w:left="0" w:firstLine="1418"/>
        <w:jc w:val="both"/>
        <w:rPr>
          <w:rFonts w:ascii="Century Gothic" w:eastAsia="Century Gothic" w:hAnsi="Century Gothic" w:cs="Century Gothic"/>
        </w:rPr>
      </w:pPr>
      <w:r w:rsidRPr="00A555A1">
        <w:rPr>
          <w:rFonts w:ascii="Century Gothic" w:eastAsia="Century Gothic" w:hAnsi="Century Gothic" w:cs="Century Gothic"/>
          <w:b/>
          <w:bCs/>
        </w:rPr>
        <w:t>Pago Móvil (Artículo 1, fracción CXXVII):</w:t>
      </w:r>
      <w:r w:rsidRPr="00A555A1">
        <w:rPr>
          <w:rFonts w:ascii="Century Gothic" w:eastAsia="Century Gothic" w:hAnsi="Century Gothic" w:cs="Century Gothic"/>
        </w:rPr>
        <w:t xml:space="preserve"> Servicio que exige la obtención de datos de manera automática del dispositivo para realizar consultas de saldo, transferencias de recursos dinerarios y pagos de bienes o servicios.</w:t>
      </w:r>
    </w:p>
    <w:p w14:paraId="2C4E19B3" w14:textId="7B54D89D"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Agravando lo anterior, la CUB obliga coactivamente a las instituciones de crédito a recabar el número celular del cliente como medida estricta de seguridad. El </w:t>
      </w:r>
      <w:r w:rsidRPr="00A555A1">
        <w:rPr>
          <w:rFonts w:ascii="Century Gothic" w:eastAsia="Century Gothic" w:hAnsi="Century Gothic" w:cs="Century Gothic"/>
          <w:b/>
          <w:bCs/>
        </w:rPr>
        <w:t>artículo 51 Bis, fracción III</w:t>
      </w:r>
      <w:r w:rsidRPr="00A555A1">
        <w:rPr>
          <w:rFonts w:ascii="Century Gothic" w:eastAsia="Century Gothic" w:hAnsi="Century Gothic" w:cs="Century Gothic"/>
        </w:rPr>
        <w:t xml:space="preserve"> de la CUB exige recabar el número de teléfono móvil al aperturar cuentas, advirtiendo </w:t>
      </w:r>
      <w:r w:rsidR="00862FF6" w:rsidRPr="00A555A1">
        <w:rPr>
          <w:rFonts w:ascii="Century Gothic" w:eastAsia="Century Gothic" w:hAnsi="Century Gothic" w:cs="Century Gothic"/>
        </w:rPr>
        <w:t>que,</w:t>
      </w:r>
      <w:r w:rsidRPr="00A555A1">
        <w:rPr>
          <w:rFonts w:ascii="Century Gothic" w:eastAsia="Century Gothic" w:hAnsi="Century Gothic" w:cs="Century Gothic"/>
        </w:rPr>
        <w:t xml:space="preserve"> de no proporcionarse, la institución dejará constancia de que "</w:t>
      </w:r>
      <w:r w:rsidRPr="00A555A1">
        <w:rPr>
          <w:rFonts w:ascii="Century Gothic" w:eastAsia="Century Gothic" w:hAnsi="Century Gothic" w:cs="Century Gothic"/>
          <w:i/>
          <w:iCs/>
        </w:rPr>
        <w:t>no estará en posibilidad de hacer las notificaciones correspondientes"</w:t>
      </w:r>
      <w:r w:rsidRPr="00A555A1">
        <w:rPr>
          <w:rFonts w:ascii="Century Gothic" w:eastAsia="Century Gothic" w:hAnsi="Century Gothic" w:cs="Century Gothic"/>
        </w:rPr>
        <w:t xml:space="preserve">. Asimismo, el </w:t>
      </w:r>
      <w:r w:rsidRPr="00A555A1">
        <w:rPr>
          <w:rFonts w:ascii="Century Gothic" w:eastAsia="Century Gothic" w:hAnsi="Century Gothic" w:cs="Century Gothic"/>
          <w:b/>
          <w:bCs/>
        </w:rPr>
        <w:t>artículo 51 Bis 11</w:t>
      </w:r>
      <w:r w:rsidRPr="00A555A1">
        <w:rPr>
          <w:rFonts w:ascii="Century Gothic" w:eastAsia="Century Gothic" w:hAnsi="Century Gothic" w:cs="Century Gothic"/>
        </w:rPr>
        <w:t xml:space="preserve"> de la CUB obliga a los bancos a notificar a la brevedad a sus clientes, a través del teléfono móvil registrado, cualquier contratación, operación, o </w:t>
      </w:r>
      <w:r w:rsidRPr="00A555A1">
        <w:rPr>
          <w:rFonts w:ascii="Century Gothic" w:eastAsia="Century Gothic" w:hAnsi="Century Gothic" w:cs="Century Gothic"/>
        </w:rPr>
        <w:lastRenderedPageBreak/>
        <w:t xml:space="preserve">activación de tarjetas que se realicen a su nombre. Finalmente, el </w:t>
      </w:r>
      <w:r w:rsidRPr="00A555A1">
        <w:rPr>
          <w:rFonts w:ascii="Century Gothic" w:eastAsia="Century Gothic" w:hAnsi="Century Gothic" w:cs="Century Gothic"/>
          <w:b/>
          <w:bCs/>
        </w:rPr>
        <w:t>artículo 307 Bis</w:t>
      </w:r>
      <w:r w:rsidRPr="00A555A1">
        <w:rPr>
          <w:rFonts w:ascii="Century Gothic" w:eastAsia="Century Gothic" w:hAnsi="Century Gothic" w:cs="Century Gothic"/>
        </w:rPr>
        <w:t xml:space="preserve"> condiciona la contratación de créditos al consumo mediante medios electrónicos a la autenticación a través del teléfono.</w:t>
      </w:r>
    </w:p>
    <w:p w14:paraId="4B3CA16C"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Esta realidad jurídica es confirmada por la propia </w:t>
      </w:r>
      <w:r w:rsidRPr="00A555A1">
        <w:rPr>
          <w:rFonts w:ascii="Century Gothic" w:eastAsia="Century Gothic" w:hAnsi="Century Gothic" w:cs="Century Gothic"/>
          <w:b/>
          <w:bCs/>
        </w:rPr>
        <w:t>Asociación de Bancos de México (en adelante, ABM)</w:t>
      </w:r>
      <w:r w:rsidRPr="00A555A1">
        <w:rPr>
          <w:rFonts w:ascii="Century Gothic" w:eastAsia="Century Gothic" w:hAnsi="Century Gothic" w:cs="Century Gothic"/>
        </w:rPr>
        <w:t xml:space="preserve">, la cual ha advertido en comunicados oficiales a nivel nacional sobre la parálisis inminente que sufrirán los usuarios si las autoridades suspenden su línea por falta de registro. En palabras de la ABM: </w:t>
      </w:r>
      <w:r w:rsidRPr="00A555A1">
        <w:rPr>
          <w:rFonts w:ascii="Century Gothic" w:eastAsia="Century Gothic" w:hAnsi="Century Gothic" w:cs="Century Gothic"/>
          <w:i/>
          <w:iCs/>
        </w:rPr>
        <w:t>"Tu línea celular es la llave para validar tu identidad y mantener activa tu banca digital, sin ella no puedes acceder a tu aplicación bancaria... tu número también forma parte de tu banca digital"</w:t>
      </w:r>
      <w:r w:rsidRPr="00A555A1">
        <w:rPr>
          <w:rFonts w:ascii="Century Gothic" w:eastAsia="Century Gothic" w:hAnsi="Century Gothic" w:cs="Century Gothic"/>
          <w:vertAlign w:val="superscript"/>
        </w:rPr>
        <w:footnoteReference w:id="157"/>
      </w:r>
      <w:r w:rsidRPr="00A555A1">
        <w:rPr>
          <w:rFonts w:ascii="Century Gothic" w:eastAsia="Century Gothic" w:hAnsi="Century Gothic" w:cs="Century Gothic"/>
        </w:rPr>
        <w:t>, por lo que la ABM advierte que movimientos como transferencias, revisión de saldos y alertas contra fraudes (vía SMS o WhatsApp) quedarán totalmente inhabilitadas.</w:t>
      </w:r>
    </w:p>
    <w:p w14:paraId="70098B51"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Incluso, el Internet y el celular son las sucursales bancarias modernas, se dice esto, porque de acuerdo con la Encuesta Nacional sobre Disponibilidad y Uso de Tecnologías de la Información en los Hogares (ENDUTIH) 2025-2026 del INEGI</w:t>
      </w:r>
      <w:r w:rsidRPr="00A555A1">
        <w:rPr>
          <w:rFonts w:ascii="Century Gothic" w:eastAsia="Century Gothic" w:hAnsi="Century Gothic" w:cs="Century Gothic"/>
          <w:vertAlign w:val="superscript"/>
        </w:rPr>
        <w:footnoteReference w:id="158"/>
      </w:r>
      <w:r w:rsidRPr="00A555A1">
        <w:rPr>
          <w:rFonts w:ascii="Century Gothic" w:eastAsia="Century Gothic" w:hAnsi="Century Gothic" w:cs="Century Gothic"/>
        </w:rPr>
        <w:t xml:space="preserve">, el </w:t>
      </w:r>
      <w:r w:rsidRPr="00A555A1">
        <w:rPr>
          <w:rFonts w:ascii="Century Gothic" w:eastAsia="Century Gothic" w:hAnsi="Century Gothic" w:cs="Century Gothic"/>
          <w:b/>
          <w:bCs/>
        </w:rPr>
        <w:t>36.7% de los usuarios urbanos</w:t>
      </w:r>
      <w:r w:rsidRPr="00A555A1">
        <w:rPr>
          <w:rFonts w:ascii="Century Gothic" w:eastAsia="Century Gothic" w:hAnsi="Century Gothic" w:cs="Century Gothic"/>
        </w:rPr>
        <w:t xml:space="preserve"> utilizan el Internet para realizar </w:t>
      </w:r>
      <w:r w:rsidRPr="00A555A1">
        <w:rPr>
          <w:rFonts w:ascii="Century Gothic" w:eastAsia="Century Gothic" w:hAnsi="Century Gothic" w:cs="Century Gothic"/>
          <w:b/>
          <w:bCs/>
        </w:rPr>
        <w:t>"Operaciones bancarias en línea"</w:t>
      </w:r>
      <w:r w:rsidRPr="00A555A1">
        <w:rPr>
          <w:rFonts w:ascii="Century Gothic" w:eastAsia="Century Gothic" w:hAnsi="Century Gothic" w:cs="Century Gothic"/>
        </w:rPr>
        <w:t xml:space="preserve"> y el </w:t>
      </w:r>
      <w:r w:rsidRPr="00A555A1">
        <w:rPr>
          <w:rFonts w:ascii="Century Gothic" w:eastAsia="Century Gothic" w:hAnsi="Century Gothic" w:cs="Century Gothic"/>
          <w:b/>
          <w:bCs/>
        </w:rPr>
        <w:t>39.5% para "Pagos vía internet"</w:t>
      </w:r>
      <w:r w:rsidRPr="00A555A1">
        <w:rPr>
          <w:rFonts w:ascii="Century Gothic" w:eastAsia="Century Gothic" w:hAnsi="Century Gothic" w:cs="Century Gothic"/>
        </w:rPr>
        <w:t xml:space="preserve">. Aunado a lo anterior, </w:t>
      </w:r>
      <w:r w:rsidRPr="00A555A1">
        <w:rPr>
          <w:rFonts w:ascii="Century Gothic" w:eastAsia="Century Gothic" w:hAnsi="Century Gothic" w:cs="Century Gothic"/>
          <w:b/>
          <w:bCs/>
        </w:rPr>
        <w:t>84.6</w:t>
      </w:r>
      <w:r w:rsidRPr="00A555A1">
        <w:rPr>
          <w:rFonts w:ascii="Arial" w:eastAsia="Arial" w:hAnsi="Arial" w:cs="Arial"/>
          <w:b/>
          <w:bCs/>
        </w:rPr>
        <w:t> </w:t>
      </w:r>
      <w:r w:rsidRPr="00A555A1">
        <w:rPr>
          <w:rFonts w:ascii="Century Gothic" w:eastAsia="Century Gothic" w:hAnsi="Century Gothic" w:cs="Century Gothic"/>
          <w:b/>
          <w:bCs/>
        </w:rPr>
        <w:t xml:space="preserve">% </w:t>
      </w:r>
      <w:r w:rsidRPr="00A555A1">
        <w:rPr>
          <w:rFonts w:ascii="Century Gothic" w:eastAsia="Century Gothic" w:hAnsi="Century Gothic" w:cs="Century Gothic"/>
        </w:rPr>
        <w:t xml:space="preserve">de las personas de 6 años en adelante y más </w:t>
      </w:r>
      <w:r w:rsidRPr="00A555A1">
        <w:rPr>
          <w:rFonts w:ascii="Century Gothic" w:eastAsia="Century Gothic" w:hAnsi="Century Gothic" w:cs="Century Gothic"/>
          <w:b/>
          <w:bCs/>
        </w:rPr>
        <w:t>usó teléfono celular</w:t>
      </w:r>
      <w:r w:rsidRPr="00A555A1">
        <w:rPr>
          <w:rFonts w:ascii="Century Gothic" w:eastAsia="Century Gothic" w:hAnsi="Century Gothic" w:cs="Century Gothic"/>
        </w:rPr>
        <w:t xml:space="preserve">, de este porcentaje, </w:t>
      </w:r>
      <w:r w:rsidRPr="00A555A1">
        <w:rPr>
          <w:rFonts w:ascii="Century Gothic" w:eastAsia="Century Gothic" w:hAnsi="Century Gothic" w:cs="Century Gothic"/>
          <w:b/>
          <w:bCs/>
        </w:rPr>
        <w:t>79.3</w:t>
      </w:r>
      <w:r w:rsidRPr="00A555A1">
        <w:rPr>
          <w:rFonts w:ascii="Arial" w:eastAsia="Arial" w:hAnsi="Arial" w:cs="Arial"/>
          <w:b/>
          <w:bCs/>
        </w:rPr>
        <w:t> </w:t>
      </w:r>
      <w:r w:rsidRPr="00A555A1">
        <w:rPr>
          <w:rFonts w:ascii="Century Gothic" w:eastAsia="Century Gothic" w:hAnsi="Century Gothic" w:cs="Century Gothic"/>
          <w:b/>
          <w:bCs/>
        </w:rPr>
        <w:t>%</w:t>
      </w:r>
      <w:r w:rsidRPr="00A555A1">
        <w:rPr>
          <w:rFonts w:ascii="Century Gothic" w:eastAsia="Century Gothic" w:hAnsi="Century Gothic" w:cs="Century Gothic"/>
        </w:rPr>
        <w:t xml:space="preserve"> utilizó solo un </w:t>
      </w:r>
      <w:r w:rsidRPr="00A555A1">
        <w:rPr>
          <w:rFonts w:ascii="Century Gothic" w:eastAsia="Century Gothic" w:hAnsi="Century Gothic" w:cs="Century Gothic"/>
          <w:b/>
          <w:bCs/>
        </w:rPr>
        <w:t>contrato de prepago</w:t>
      </w:r>
      <w:r w:rsidRPr="00A555A1">
        <w:rPr>
          <w:rFonts w:ascii="Century Gothic" w:eastAsia="Century Gothic" w:hAnsi="Century Gothic" w:cs="Century Gothic"/>
        </w:rPr>
        <w:t xml:space="preserve">, </w:t>
      </w:r>
      <w:r w:rsidRPr="00A555A1">
        <w:rPr>
          <w:rFonts w:ascii="Century Gothic" w:eastAsia="Century Gothic" w:hAnsi="Century Gothic" w:cs="Century Gothic"/>
          <w:b/>
          <w:bCs/>
        </w:rPr>
        <w:t>15.7</w:t>
      </w:r>
      <w:r w:rsidRPr="00A555A1">
        <w:rPr>
          <w:rFonts w:ascii="Arial" w:eastAsia="Arial" w:hAnsi="Arial" w:cs="Arial"/>
          <w:b/>
          <w:bCs/>
        </w:rPr>
        <w:t> </w:t>
      </w:r>
      <w:r w:rsidRPr="00A555A1">
        <w:rPr>
          <w:rFonts w:ascii="Century Gothic" w:eastAsia="Century Gothic" w:hAnsi="Century Gothic" w:cs="Century Gothic"/>
          <w:b/>
          <w:bCs/>
        </w:rPr>
        <w:t>%</w:t>
      </w:r>
      <w:r w:rsidRPr="00A555A1">
        <w:rPr>
          <w:rFonts w:ascii="Century Gothic" w:eastAsia="Century Gothic" w:hAnsi="Century Gothic" w:cs="Century Gothic"/>
        </w:rPr>
        <w:t xml:space="preserve"> optó por uno de </w:t>
      </w:r>
      <w:r w:rsidRPr="00A555A1">
        <w:rPr>
          <w:rFonts w:ascii="Century Gothic" w:eastAsia="Century Gothic" w:hAnsi="Century Gothic" w:cs="Century Gothic"/>
          <w:b/>
          <w:bCs/>
        </w:rPr>
        <w:t>pospago</w:t>
      </w:r>
      <w:r w:rsidRPr="00A555A1">
        <w:rPr>
          <w:rFonts w:ascii="Century Gothic" w:eastAsia="Century Gothic" w:hAnsi="Century Gothic" w:cs="Century Gothic"/>
        </w:rPr>
        <w:t xml:space="preserve"> y </w:t>
      </w:r>
      <w:r w:rsidRPr="00A555A1">
        <w:rPr>
          <w:rFonts w:ascii="Century Gothic" w:eastAsia="Century Gothic" w:hAnsi="Century Gothic" w:cs="Century Gothic"/>
          <w:b/>
          <w:bCs/>
        </w:rPr>
        <w:t>0.6</w:t>
      </w:r>
      <w:r w:rsidRPr="00A555A1">
        <w:rPr>
          <w:rFonts w:ascii="Arial" w:eastAsia="Arial" w:hAnsi="Arial" w:cs="Arial"/>
          <w:b/>
          <w:bCs/>
        </w:rPr>
        <w:t> </w:t>
      </w:r>
      <w:r w:rsidRPr="00A555A1">
        <w:rPr>
          <w:rFonts w:ascii="Century Gothic" w:eastAsia="Century Gothic" w:hAnsi="Century Gothic" w:cs="Century Gothic"/>
          <w:b/>
          <w:bCs/>
        </w:rPr>
        <w:t>%</w:t>
      </w:r>
      <w:r w:rsidRPr="00A555A1">
        <w:rPr>
          <w:rFonts w:ascii="Century Gothic" w:eastAsia="Century Gothic" w:hAnsi="Century Gothic" w:cs="Century Gothic"/>
        </w:rPr>
        <w:t xml:space="preserve"> empleó </w:t>
      </w:r>
      <w:r w:rsidRPr="00A555A1">
        <w:rPr>
          <w:rFonts w:ascii="Century Gothic" w:eastAsia="Century Gothic" w:hAnsi="Century Gothic" w:cs="Century Gothic"/>
          <w:b/>
          <w:bCs/>
        </w:rPr>
        <w:t>ambos</w:t>
      </w:r>
      <w:r w:rsidRPr="00A555A1">
        <w:rPr>
          <w:rFonts w:ascii="Century Gothic" w:eastAsia="Century Gothic" w:hAnsi="Century Gothic" w:cs="Century Gothic"/>
        </w:rPr>
        <w:t xml:space="preserve"> tipos de contrato.</w:t>
      </w:r>
    </w:p>
    <w:p w14:paraId="39328F86" w14:textId="29D45AFE"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Corolario de lo anterior, corporativos como BBVA</w:t>
      </w:r>
      <w:r w:rsidR="00497D40" w:rsidRPr="00A555A1">
        <w:rPr>
          <w:rFonts w:ascii="Century Gothic" w:eastAsia="Century Gothic" w:hAnsi="Century Gothic" w:cs="Century Gothic"/>
        </w:rPr>
        <w:t xml:space="preserve"> </w:t>
      </w:r>
      <w:r w:rsidRPr="00A555A1">
        <w:rPr>
          <w:rFonts w:ascii="Century Gothic" w:eastAsia="Century Gothic" w:hAnsi="Century Gothic" w:cs="Century Gothic"/>
        </w:rPr>
        <w:t>(BBVA México, S.A., Institución de Banca Múltiple, Grupo Financiero BBVA México) reportan que el 80% de sus clientes son enteramente digitales</w:t>
      </w:r>
      <w:r w:rsidRPr="00A555A1">
        <w:rPr>
          <w:rFonts w:ascii="Century Gothic" w:eastAsia="Century Gothic" w:hAnsi="Century Gothic" w:cs="Century Gothic"/>
          <w:vertAlign w:val="superscript"/>
        </w:rPr>
        <w:footnoteReference w:id="159"/>
      </w:r>
      <w:r w:rsidRPr="00A555A1">
        <w:rPr>
          <w:rFonts w:ascii="Century Gothic" w:eastAsia="Century Gothic" w:hAnsi="Century Gothic" w:cs="Century Gothic"/>
        </w:rPr>
        <w:t>.</w:t>
      </w:r>
    </w:p>
    <w:p w14:paraId="63B8CD23"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En ese sentido el acto reclamado al privar a la quejosa de su línea telefónica equivale materialmente a cancelarle el acceso a su patrimonio, a sus cuentas de ahorro y a su capacidad de crédito.</w:t>
      </w:r>
    </w:p>
    <w:p w14:paraId="43A2A02A" w14:textId="056C0E0C" w:rsidR="00001DF2" w:rsidRPr="00A555A1" w:rsidRDefault="00000000">
      <w:pPr>
        <w:spacing w:line="360" w:lineRule="auto"/>
        <w:jc w:val="center"/>
        <w:rPr>
          <w:rFonts w:ascii="Century Gothic" w:eastAsia="Century Gothic" w:hAnsi="Century Gothic" w:cs="Century Gothic"/>
        </w:rPr>
      </w:pPr>
      <w:r w:rsidRPr="00A555A1">
        <w:rPr>
          <w:rFonts w:ascii="Century Gothic" w:eastAsia="Century Gothic" w:hAnsi="Century Gothic" w:cs="Century Gothic"/>
          <w:b/>
          <w:bCs/>
        </w:rPr>
        <w:t>C. LA AUTODETERMINACIÓN PATRIMONIAL Y EL DAÑO AL PROYECTO DE VIDA</w:t>
      </w:r>
    </w:p>
    <w:p w14:paraId="50E74D0A" w14:textId="77777777" w:rsidR="00001DF2" w:rsidRPr="00A555A1" w:rsidRDefault="00000000">
      <w:pPr>
        <w:spacing w:line="360" w:lineRule="auto"/>
        <w:ind w:firstLine="1276"/>
        <w:jc w:val="both"/>
        <w:rPr>
          <w:rFonts w:ascii="Century Gothic" w:eastAsia="Century Gothic" w:hAnsi="Century Gothic" w:cs="Century Gothic"/>
        </w:rPr>
      </w:pPr>
      <w:r w:rsidRPr="00A555A1">
        <w:rPr>
          <w:rFonts w:ascii="Century Gothic" w:eastAsia="Century Gothic" w:hAnsi="Century Gothic" w:cs="Century Gothic"/>
        </w:rPr>
        <w:lastRenderedPageBreak/>
        <w:t xml:space="preserve">La inhabilitación de la línea móvil y el consecuente bloqueo a la banca digital vulneran de manera directa el derecho al </w:t>
      </w:r>
      <w:r w:rsidRPr="00A555A1">
        <w:rPr>
          <w:rFonts w:ascii="Century Gothic" w:eastAsia="Century Gothic" w:hAnsi="Century Gothic" w:cs="Century Gothic"/>
          <w:b/>
          <w:bCs/>
        </w:rPr>
        <w:t xml:space="preserve">libre desarrollo de la personalidad </w:t>
      </w:r>
      <w:r w:rsidRPr="00A555A1">
        <w:rPr>
          <w:rFonts w:ascii="Century Gothic" w:eastAsia="Century Gothic" w:hAnsi="Century Gothic" w:cs="Century Gothic"/>
        </w:rPr>
        <w:t>de la suscrita persona quejosa. Como ha establecido el Pleno de la SCJN (desde el Amparo Directo 6/2008)</w:t>
      </w:r>
      <w:r w:rsidRPr="00A555A1">
        <w:rPr>
          <w:rFonts w:ascii="Century Gothic" w:eastAsia="Century Gothic" w:hAnsi="Century Gothic" w:cs="Century Gothic"/>
          <w:vertAlign w:val="superscript"/>
        </w:rPr>
        <w:footnoteReference w:id="160"/>
      </w:r>
      <w:r w:rsidRPr="00A555A1">
        <w:rPr>
          <w:rFonts w:ascii="Century Gothic" w:eastAsia="Century Gothic" w:hAnsi="Century Gothic" w:cs="Century Gothic"/>
        </w:rPr>
        <w:t>, este derecho garantiza la facultad natural de toda persona a elegir, de forma libre y autónoma, su proyecto de vida y las metas que le dan sentido a su existencia.</w:t>
      </w:r>
    </w:p>
    <w:p w14:paraId="5483540B"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Sin embargo, para que esta libertad sea real y no una mera ilusión teórica, exige condiciones materiales. Al resolver el </w:t>
      </w:r>
      <w:r w:rsidRPr="00A555A1">
        <w:rPr>
          <w:rFonts w:ascii="Century Gothic" w:eastAsia="Century Gothic" w:hAnsi="Century Gothic" w:cs="Century Gothic"/>
          <w:b/>
          <w:bCs/>
        </w:rPr>
        <w:t>Amparo Directo en Revisión 2547/2020</w:t>
      </w:r>
      <w:r w:rsidRPr="00A555A1">
        <w:rPr>
          <w:rFonts w:ascii="Century Gothic" w:eastAsia="Century Gothic" w:hAnsi="Century Gothic" w:cs="Century Gothic"/>
        </w:rPr>
        <w:t xml:space="preserve">, la Primera Sala de la SCJN determinó categóricamente que del derecho a la libre autodeterminación se desprende que </w:t>
      </w:r>
      <w:r w:rsidRPr="00A555A1">
        <w:rPr>
          <w:rFonts w:ascii="Century Gothic" w:eastAsia="Century Gothic" w:hAnsi="Century Gothic" w:cs="Century Gothic"/>
          <w:b/>
          <w:bCs/>
        </w:rPr>
        <w:t>“las personas también tienen derecho a la libre autodeterminación; y por tanto pueden disponer libremente de sus derechos económicos, sociales, culturales, así como de sus derechos civiles y políticos</w:t>
      </w:r>
      <w:r w:rsidRPr="00A555A1">
        <w:rPr>
          <w:rFonts w:ascii="Century Gothic" w:eastAsia="Century Gothic" w:hAnsi="Century Gothic" w:cs="Century Gothic"/>
        </w:rPr>
        <w:t xml:space="preserve">, y que </w:t>
      </w:r>
      <w:r w:rsidRPr="00A555A1">
        <w:rPr>
          <w:rFonts w:ascii="Century Gothic" w:eastAsia="Century Gothic" w:hAnsi="Century Gothic" w:cs="Century Gothic"/>
          <w:b/>
          <w:bCs/>
        </w:rPr>
        <w:t>"las personas pueden disponer libremente de sus propiedades y sus bienes."</w:t>
      </w:r>
      <w:r w:rsidRPr="00A555A1">
        <w:rPr>
          <w:rFonts w:ascii="Century Gothic" w:eastAsia="Century Gothic" w:hAnsi="Century Gothic" w:cs="Century Gothic"/>
          <w:vertAlign w:val="superscript"/>
        </w:rPr>
        <w:footnoteReference w:id="161"/>
      </w:r>
    </w:p>
    <w:p w14:paraId="4D3C1AEA"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Entonces, la consecución del pleno desarrollo del individuo y su bienestar exigen ineludiblemente la disponibilidad y </w:t>
      </w:r>
      <w:r w:rsidRPr="00A555A1">
        <w:rPr>
          <w:rFonts w:ascii="Century Gothic" w:eastAsia="Century Gothic" w:hAnsi="Century Gothic" w:cs="Century Gothic"/>
          <w:b/>
          <w:bCs/>
        </w:rPr>
        <w:t>libre disposición de sus recursos materiales</w:t>
      </w:r>
      <w:r w:rsidRPr="00A555A1">
        <w:rPr>
          <w:rFonts w:ascii="Century Gothic" w:eastAsia="Century Gothic" w:hAnsi="Century Gothic" w:cs="Century Gothic"/>
        </w:rPr>
        <w:t>, conformando una relación indisoluble entre la autonomía personal y la seguridad económica.</w:t>
      </w:r>
    </w:p>
    <w:p w14:paraId="15E15296" w14:textId="008D074C"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Aunado a ello, la inhabilitación atenta contra el </w:t>
      </w:r>
      <w:r w:rsidRPr="00A555A1">
        <w:rPr>
          <w:rFonts w:ascii="Century Gothic" w:eastAsia="Century Gothic" w:hAnsi="Century Gothic" w:cs="Century Gothic"/>
          <w:b/>
          <w:bCs/>
        </w:rPr>
        <w:t xml:space="preserve">artículo 5o. constitucional, </w:t>
      </w:r>
      <w:r w:rsidRPr="00A555A1">
        <w:rPr>
          <w:rFonts w:ascii="Century Gothic" w:eastAsia="Century Gothic" w:hAnsi="Century Gothic" w:cs="Century Gothic"/>
        </w:rPr>
        <w:t>ya</w:t>
      </w:r>
      <w:r w:rsidRPr="00A555A1">
        <w:rPr>
          <w:rFonts w:ascii="Century Gothic" w:eastAsia="Century Gothic" w:hAnsi="Century Gothic" w:cs="Century Gothic"/>
          <w:b/>
          <w:bCs/>
        </w:rPr>
        <w:t xml:space="preserve"> </w:t>
      </w:r>
      <w:r w:rsidRPr="00A555A1">
        <w:rPr>
          <w:rFonts w:ascii="Century Gothic" w:eastAsia="Century Gothic" w:hAnsi="Century Gothic" w:cs="Century Gothic"/>
        </w:rPr>
        <w:t xml:space="preserve">que, al impedirle a la quejosa acceder a su aplicación bancaria, el Estado le imposibilita disfrutar libremente del producto de su trabajo sin que medie una </w:t>
      </w:r>
      <w:r w:rsidRPr="00A555A1">
        <w:rPr>
          <w:rFonts w:ascii="Century Gothic" w:eastAsia="Century Gothic" w:hAnsi="Century Gothic" w:cs="Century Gothic"/>
          <w:b/>
          <w:bCs/>
        </w:rPr>
        <w:t>resolución judicial de por medio</w:t>
      </w:r>
      <w:r w:rsidRPr="00A555A1">
        <w:rPr>
          <w:rFonts w:ascii="Century Gothic" w:eastAsia="Century Gothic" w:hAnsi="Century Gothic" w:cs="Century Gothic"/>
        </w:rPr>
        <w:t>, como lo mandata dicho numeral, por lo que si la ciudadanía no puede recibir códigos de autenticación SMS ni ingresar a su Banca Móvil (como lo exige la CUB), su</w:t>
      </w:r>
      <w:r w:rsidR="008E05E7">
        <w:rPr>
          <w:rFonts w:ascii="Century Gothic" w:eastAsia="Century Gothic" w:hAnsi="Century Gothic" w:cs="Century Gothic"/>
        </w:rPr>
        <w:t>s</w:t>
      </w:r>
      <w:r w:rsidRPr="00A555A1">
        <w:rPr>
          <w:rFonts w:ascii="Century Gothic" w:eastAsia="Century Gothic" w:hAnsi="Century Gothic" w:cs="Century Gothic"/>
        </w:rPr>
        <w:t xml:space="preserve"> </w:t>
      </w:r>
      <w:r w:rsidR="002448DD">
        <w:rPr>
          <w:rFonts w:ascii="Century Gothic" w:eastAsia="Century Gothic" w:hAnsi="Century Gothic" w:cs="Century Gothic"/>
        </w:rPr>
        <w:t>ingresos</w:t>
      </w:r>
      <w:r w:rsidRPr="00A555A1">
        <w:rPr>
          <w:rFonts w:ascii="Century Gothic" w:eastAsia="Century Gothic" w:hAnsi="Century Gothic" w:cs="Century Gothic"/>
        </w:rPr>
        <w:t xml:space="preserve"> queda</w:t>
      </w:r>
      <w:r w:rsidR="002448DD">
        <w:rPr>
          <w:rFonts w:ascii="Century Gothic" w:eastAsia="Century Gothic" w:hAnsi="Century Gothic" w:cs="Century Gothic"/>
        </w:rPr>
        <w:t>n</w:t>
      </w:r>
      <w:r w:rsidRPr="00A555A1">
        <w:rPr>
          <w:rFonts w:ascii="Century Gothic" w:eastAsia="Century Gothic" w:hAnsi="Century Gothic" w:cs="Century Gothic"/>
        </w:rPr>
        <w:t xml:space="preserve"> </w:t>
      </w:r>
      <w:r w:rsidR="002448DD">
        <w:rPr>
          <w:rFonts w:ascii="Century Gothic" w:eastAsia="Century Gothic" w:hAnsi="Century Gothic" w:cs="Century Gothic"/>
        </w:rPr>
        <w:t>confiscados</w:t>
      </w:r>
      <w:r w:rsidRPr="00A555A1">
        <w:rPr>
          <w:rFonts w:ascii="Century Gothic" w:eastAsia="Century Gothic" w:hAnsi="Century Gothic" w:cs="Century Gothic"/>
        </w:rPr>
        <w:t xml:space="preserve"> virtualmente, impidiéndole disponer de sus propios recursos para su subsistencia diaria.</w:t>
      </w:r>
    </w:p>
    <w:p w14:paraId="0029F43A"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En el ámbito del Sistema Interamericano, la Corte IDH ha dotado a este derecho de una dimensión existencial superior a través de la figura del </w:t>
      </w:r>
      <w:r w:rsidRPr="00A555A1">
        <w:rPr>
          <w:rFonts w:ascii="Century Gothic" w:eastAsia="Century Gothic" w:hAnsi="Century Gothic" w:cs="Century Gothic"/>
          <w:b/>
          <w:bCs/>
        </w:rPr>
        <w:t>"Proyecto de Vida"</w:t>
      </w:r>
      <w:r w:rsidRPr="00A555A1">
        <w:rPr>
          <w:rFonts w:ascii="Century Gothic" w:eastAsia="Century Gothic" w:hAnsi="Century Gothic" w:cs="Century Gothic"/>
        </w:rPr>
        <w:t xml:space="preserve">. A partir de su histórica sentencia en el caso </w:t>
      </w:r>
      <w:r w:rsidRPr="00A555A1">
        <w:rPr>
          <w:rFonts w:ascii="Century Gothic" w:eastAsia="Century Gothic" w:hAnsi="Century Gothic" w:cs="Century Gothic"/>
          <w:b/>
          <w:bCs/>
          <w:i/>
          <w:iCs/>
        </w:rPr>
        <w:t xml:space="preserve">María Elena </w:t>
      </w:r>
      <w:r w:rsidRPr="00A555A1">
        <w:rPr>
          <w:rFonts w:ascii="Century Gothic" w:eastAsia="Century Gothic" w:hAnsi="Century Gothic" w:cs="Century Gothic"/>
          <w:b/>
          <w:bCs/>
          <w:i/>
          <w:iCs/>
        </w:rPr>
        <w:lastRenderedPageBreak/>
        <w:t>Loayza Tamayo Vs. Perú</w:t>
      </w:r>
      <w:r w:rsidRPr="00A555A1">
        <w:rPr>
          <w:rFonts w:ascii="Century Gothic" w:eastAsia="Century Gothic" w:hAnsi="Century Gothic" w:cs="Century Gothic"/>
        </w:rPr>
        <w:t xml:space="preserve">, el Tribunal Interamericano determinó que el proyecto de vida atiende a la realización integral de la persona y se sustenta en las opciones que tiene para conducir su vida. </w:t>
      </w:r>
    </w:p>
    <w:p w14:paraId="648AFD3B"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La Corte IDH resolvió que la libertad objetiva se materializa en estas opciones vitales, y que </w:t>
      </w:r>
      <w:r w:rsidRPr="00A555A1">
        <w:rPr>
          <w:rFonts w:ascii="Century Gothic" w:eastAsia="Century Gothic" w:hAnsi="Century Gothic" w:cs="Century Gothic"/>
          <w:b/>
          <w:bCs/>
        </w:rPr>
        <w:t>su cancelación o menoscabo implican una reducción objetiva de la libertad y la pérdida de un valor incalculable</w:t>
      </w:r>
      <w:r w:rsidRPr="00A555A1">
        <w:rPr>
          <w:rFonts w:ascii="Century Gothic" w:eastAsia="Century Gothic" w:hAnsi="Century Gothic" w:cs="Century Gothic"/>
        </w:rPr>
        <w:t>, lo que configura un daño profundo e irreparable al destino de la persona.</w:t>
      </w:r>
      <w:r w:rsidRPr="00A555A1">
        <w:rPr>
          <w:rFonts w:ascii="Century Gothic" w:eastAsia="Century Gothic" w:hAnsi="Century Gothic" w:cs="Century Gothic"/>
          <w:vertAlign w:val="superscript"/>
        </w:rPr>
        <w:footnoteReference w:id="162"/>
      </w:r>
    </w:p>
    <w:p w14:paraId="4321A810" w14:textId="286AA4AF"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Al aplicar este parámetro de regularidad constitucional al caso concreto, la medida combatida resulta atentar contra el proyecto de vida de la </w:t>
      </w:r>
      <w:r w:rsidR="00862FF6" w:rsidRPr="00A555A1">
        <w:rPr>
          <w:rFonts w:ascii="Century Gothic" w:eastAsia="Century Gothic" w:hAnsi="Century Gothic" w:cs="Century Gothic"/>
        </w:rPr>
        <w:t xml:space="preserve">parte </w:t>
      </w:r>
      <w:r w:rsidRPr="00A555A1">
        <w:rPr>
          <w:rFonts w:ascii="Century Gothic" w:eastAsia="Century Gothic" w:hAnsi="Century Gothic" w:cs="Century Gothic"/>
        </w:rPr>
        <w:t xml:space="preserve">quejosa, pues al condicionar la línea celular a la entrega de datos personales y personales sensibles (biometría, “prueba de vida”), y establecer la "Desvinculación" como sanción, el Estado provoca el bloqueo material de la ciudadana a su banca móvil e instituciones de crédito (conforme a la CUB), lo que se traduce fáctica y jurídicamente en el </w:t>
      </w:r>
      <w:r w:rsidRPr="00A555A1">
        <w:rPr>
          <w:rFonts w:ascii="Century Gothic" w:eastAsia="Century Gothic" w:hAnsi="Century Gothic" w:cs="Century Gothic"/>
          <w:b/>
          <w:bCs/>
        </w:rPr>
        <w:t>secuestro de los bienes y recursos económicos de la quejosa</w:t>
      </w:r>
      <w:r w:rsidRPr="00A555A1">
        <w:rPr>
          <w:rFonts w:ascii="Century Gothic" w:eastAsia="Century Gothic" w:hAnsi="Century Gothic" w:cs="Century Gothic"/>
        </w:rPr>
        <w:t xml:space="preserve">, o dicho en otras palabras a una privación del producto de su trabajo, sin la existencia de una resolución judicial, impidiéndole ejercer su derecho humano a la </w:t>
      </w:r>
      <w:r w:rsidRPr="00A555A1">
        <w:rPr>
          <w:rFonts w:ascii="Century Gothic" w:eastAsia="Century Gothic" w:hAnsi="Century Gothic" w:cs="Century Gothic"/>
          <w:b/>
          <w:bCs/>
        </w:rPr>
        <w:t>libre disposición de su patrimonio</w:t>
      </w:r>
      <w:r w:rsidRPr="00A555A1">
        <w:rPr>
          <w:rFonts w:ascii="Century Gothic" w:eastAsia="Century Gothic" w:hAnsi="Century Gothic" w:cs="Century Gothic"/>
        </w:rPr>
        <w:t>.</w:t>
      </w:r>
    </w:p>
    <w:p w14:paraId="7D3937B0"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Privada del acceso a su salario, sus ahorros o la capacidad de realizar transferencias y pagos en la economía digital, la ciudadana pierde la capacidad de sostener sus necesidades básicas, su salud y las de su familia, por lo que el Estado, mediante una simple sanción administrativa de telecomunicaciones, provoca un </w:t>
      </w:r>
      <w:r w:rsidRPr="00A555A1">
        <w:rPr>
          <w:rFonts w:ascii="Century Gothic" w:eastAsia="Century Gothic" w:hAnsi="Century Gothic" w:cs="Century Gothic"/>
          <w:b/>
          <w:bCs/>
        </w:rPr>
        <w:t>daño al proyecto de vida</w:t>
      </w:r>
      <w:r w:rsidRPr="00A555A1">
        <w:rPr>
          <w:rFonts w:ascii="Century Gothic" w:eastAsia="Century Gothic" w:hAnsi="Century Gothic" w:cs="Century Gothic"/>
        </w:rPr>
        <w:t xml:space="preserve"> de la quejosa, truncando sus opciones de realización personal, anulando su autonomía económica y empujándola arbitrariamente hacia la marginación e informalidad.</w:t>
      </w:r>
    </w:p>
    <w:p w14:paraId="0D8B39D6" w14:textId="1A2B170C" w:rsidR="00862FF6" w:rsidRPr="00A555A1" w:rsidRDefault="00862FF6" w:rsidP="00862FF6">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La gravedad de esta exclusión financiera y la destrucción de mi proyecto de vida se torna absoluta e ineludible al advertir el </w:t>
      </w:r>
      <w:r w:rsidRPr="00A555A1">
        <w:rPr>
          <w:rFonts w:ascii="Century Gothic" w:eastAsia="Century Gothic" w:hAnsi="Century Gothic" w:cs="Century Gothic"/>
          <w:b/>
          <w:bCs/>
        </w:rPr>
        <w:t>cerco biométrico</w:t>
      </w:r>
      <w:r w:rsidRPr="00A555A1">
        <w:rPr>
          <w:rFonts w:ascii="Century Gothic" w:eastAsia="Century Gothic" w:hAnsi="Century Gothic" w:cs="Century Gothic"/>
        </w:rPr>
        <w:t> orquestado por el Estado Mexicano.</w:t>
      </w:r>
    </w:p>
    <w:p w14:paraId="31368AC7" w14:textId="478726BE" w:rsidR="00862FF6" w:rsidRPr="00A555A1" w:rsidRDefault="00862FF6" w:rsidP="00862FF6">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Podría llegar a argumentarse erróneamente que la inhabilitación de la línea telefónica no me excluye del sistema financiero, bajo la falsa premisa de que la suscrita persona quejosa podría acudir físicamente a una </w:t>
      </w:r>
      <w:r w:rsidRPr="00A555A1">
        <w:rPr>
          <w:rFonts w:ascii="Century Gothic" w:eastAsia="Century Gothic" w:hAnsi="Century Gothic" w:cs="Century Gothic"/>
        </w:rPr>
        <w:lastRenderedPageBreak/>
        <w:t>sucursal para disponer de su patrimonio. Sin embargo, dicha alternativa se turna imposible, pues mediante la </w:t>
      </w:r>
      <w:r w:rsidRPr="00A555A1">
        <w:rPr>
          <w:rFonts w:ascii="Century Gothic" w:eastAsia="Century Gothic" w:hAnsi="Century Gothic" w:cs="Century Gothic"/>
          <w:i/>
          <w:iCs/>
        </w:rPr>
        <w:t>Resolución que modifica las Disposiciones de carácter general aplicables a las instituciones de crédito</w:t>
      </w:r>
      <w:r w:rsidRPr="00A555A1">
        <w:rPr>
          <w:rFonts w:ascii="Century Gothic" w:eastAsia="Century Gothic" w:hAnsi="Century Gothic" w:cs="Century Gothic"/>
        </w:rPr>
        <w:t>, publicada en el Diario Oficial de la Federación el 1 de julio de 2026, la Comisión Nacional Bancaria y de Valores (en adelante, CNBV) reformó el artículo 51 Bis y el Anexo 71 de la CUB.</w:t>
      </w:r>
    </w:p>
    <w:p w14:paraId="1476CB70" w14:textId="4D771FB1" w:rsidR="00862FF6" w:rsidRPr="00A555A1" w:rsidRDefault="00862FF6" w:rsidP="00862FF6">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Esta reciente modificación impone a las instituciones de crédito la obligación ineludible de exigir la captura de </w:t>
      </w:r>
      <w:r w:rsidRPr="00A555A1">
        <w:rPr>
          <w:rFonts w:ascii="Century Gothic" w:eastAsia="Century Gothic" w:hAnsi="Century Gothic" w:cs="Century Gothic"/>
          <w:b/>
          <w:bCs/>
        </w:rPr>
        <w:t>biometría facial y huellas dactilares</w:t>
      </w:r>
      <w:r w:rsidRPr="00A555A1">
        <w:rPr>
          <w:rFonts w:ascii="Century Gothic" w:eastAsia="Century Gothic" w:hAnsi="Century Gothic" w:cs="Century Gothic"/>
        </w:rPr>
        <w:t> a cualquier persona física que acuda de manera presencial a celebrar operaciones o disponer de recursos en cuentas nivel 3 y 4. Es decir, el andamiaje regulatorio del Estado ha sido diseñado para acorralar al ciudadano,</w:t>
      </w:r>
      <w:r w:rsidR="00497D40" w:rsidRPr="00A555A1">
        <w:rPr>
          <w:rFonts w:ascii="Century Gothic" w:eastAsia="Century Gothic" w:hAnsi="Century Gothic" w:cs="Century Gothic"/>
        </w:rPr>
        <w:t xml:space="preserve"> porque, por un lado,</w:t>
      </w:r>
      <w:r w:rsidRPr="00A555A1">
        <w:rPr>
          <w:rFonts w:ascii="Century Gothic" w:eastAsia="Century Gothic" w:hAnsi="Century Gothic" w:cs="Century Gothic"/>
        </w:rPr>
        <w:t xml:space="preserve"> si me niego a entregar mi biometría y mi rostro a la concesionaria telefónica, pierdo mi Banca Móvil y mi conectividad; y si intento rescatar el producto de mi trabajo acudiendo físicamente a mi banco, la CNBV me obliga a someterme exactamente a la misma extracción biométrica facial y dactilar.</w:t>
      </w:r>
    </w:p>
    <w:p w14:paraId="677A79C1" w14:textId="77777777" w:rsidR="008E05E7" w:rsidRDefault="00862FF6" w:rsidP="008E05E7">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Esta coacción sistémica hace que la violación a mi proyecto de vida sea insalvable, pues el Estado Mexicano ha condicionado el ejercicio de mi autonomía patrimonial, mi libertad de disponer del producto de mi trabajo (artículo 5o. constitucional) </w:t>
      </w:r>
      <w:r w:rsidR="008E05E7" w:rsidRPr="00862FF6">
        <w:rPr>
          <w:rFonts w:ascii="Century Gothic" w:eastAsia="Century Gothic" w:hAnsi="Century Gothic" w:cs="Century Gothic"/>
        </w:rPr>
        <w:t xml:space="preserve">y mi supervivencia económica en el sistema formal, a la renuncia absoluta e incondicional de mi derecho humano a la privacidad, la intimidad y </w:t>
      </w:r>
      <w:r w:rsidR="008E05E7">
        <w:rPr>
          <w:rFonts w:ascii="Century Gothic" w:eastAsia="Century Gothic" w:hAnsi="Century Gothic" w:cs="Century Gothic"/>
        </w:rPr>
        <w:t xml:space="preserve">al principio de </w:t>
      </w:r>
      <w:r w:rsidR="008E05E7" w:rsidRPr="00862FF6">
        <w:rPr>
          <w:rFonts w:ascii="Century Gothic" w:eastAsia="Century Gothic" w:hAnsi="Century Gothic" w:cs="Century Gothic"/>
        </w:rPr>
        <w:t>autodeterminación informativa.</w:t>
      </w:r>
    </w:p>
    <w:p w14:paraId="77EC38FD" w14:textId="550D27C2" w:rsidR="00862FF6" w:rsidRPr="00A555A1" w:rsidRDefault="00862FF6" w:rsidP="00862FF6">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La consumación de esta muerte civil y financiera se perfecciona al analizar el diseño regulatorio de los medios de autenticación impuestos por el propio Estado, pues podría pretender argumentarse, de manera frívola, que la pérdida de la línea telefónica móvil no impide a la </w:t>
      </w:r>
      <w:r w:rsidR="00C91316" w:rsidRPr="00A555A1">
        <w:rPr>
          <w:rFonts w:ascii="Century Gothic" w:eastAsia="Century Gothic" w:hAnsi="Century Gothic" w:cs="Century Gothic"/>
        </w:rPr>
        <w:t>suscrita persona</w:t>
      </w:r>
      <w:r w:rsidRPr="00A555A1">
        <w:rPr>
          <w:rFonts w:ascii="Century Gothic" w:eastAsia="Century Gothic" w:hAnsi="Century Gothic" w:cs="Century Gothic"/>
        </w:rPr>
        <w:t xml:space="preserve"> quejosa acceder a sus recursos a través de una computadora de escritorio (Banca por Internet)</w:t>
      </w:r>
      <w:r w:rsidR="00497D40" w:rsidRPr="00A555A1">
        <w:rPr>
          <w:rFonts w:ascii="Century Gothic" w:eastAsia="Century Gothic" w:hAnsi="Century Gothic" w:cs="Century Gothic"/>
        </w:rPr>
        <w:t>, s</w:t>
      </w:r>
      <w:r w:rsidRPr="00A555A1">
        <w:rPr>
          <w:rFonts w:ascii="Century Gothic" w:eastAsia="Century Gothic" w:hAnsi="Century Gothic" w:cs="Century Gothic"/>
        </w:rPr>
        <w:t xml:space="preserve">in embargo, dicha alternativa </w:t>
      </w:r>
      <w:r w:rsidR="00497D40" w:rsidRPr="00A555A1">
        <w:rPr>
          <w:rFonts w:ascii="Century Gothic" w:eastAsia="Century Gothic" w:hAnsi="Century Gothic" w:cs="Century Gothic"/>
        </w:rPr>
        <w:t>se encuentra mermada</w:t>
      </w:r>
      <w:r w:rsidRPr="00A555A1">
        <w:rPr>
          <w:rFonts w:ascii="Century Gothic" w:eastAsia="Century Gothic" w:hAnsi="Century Gothic" w:cs="Century Gothic"/>
        </w:rPr>
        <w:t xml:space="preserve"> normativamente por la CNBV.</w:t>
      </w:r>
    </w:p>
    <w:p w14:paraId="3C533740" w14:textId="6271FCC9" w:rsidR="00862FF6" w:rsidRPr="00A555A1" w:rsidRDefault="00862FF6" w:rsidP="00862FF6">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El </w:t>
      </w:r>
      <w:r w:rsidRPr="00A555A1">
        <w:rPr>
          <w:rFonts w:ascii="Century Gothic" w:eastAsia="Century Gothic" w:hAnsi="Century Gothic" w:cs="Century Gothic"/>
          <w:b/>
          <w:bCs/>
        </w:rPr>
        <w:t>artículo 313</w:t>
      </w:r>
      <w:r w:rsidRPr="00A555A1">
        <w:rPr>
          <w:rFonts w:ascii="Century Gothic" w:eastAsia="Century Gothic" w:hAnsi="Century Gothic" w:cs="Century Gothic"/>
        </w:rPr>
        <w:t xml:space="preserve"> de la CUB exige forzosamente el uso de un Factor de Autenticación Categoría 3 (contraseñas dinámicas de un solo uso o </w:t>
      </w:r>
      <w:r w:rsidRPr="00A555A1">
        <w:rPr>
          <w:rFonts w:ascii="Century Gothic" w:eastAsia="Century Gothic" w:hAnsi="Century Gothic" w:cs="Century Gothic"/>
          <w:i/>
          <w:iCs/>
        </w:rPr>
        <w:t>tokens</w:t>
      </w:r>
      <w:r w:rsidRPr="00A555A1">
        <w:rPr>
          <w:rFonts w:ascii="Century Gothic" w:eastAsia="Century Gothic" w:hAnsi="Century Gothic" w:cs="Century Gothic"/>
        </w:rPr>
        <w:t>) para autorizar cualquier transferencia de recursos a terceros, pago de créditos, pago de bienes o servicios y registro de nuevas cuentas destino.</w:t>
      </w:r>
    </w:p>
    <w:p w14:paraId="5F7B571C" w14:textId="4A164DCB" w:rsidR="00862FF6" w:rsidRPr="00A555A1" w:rsidRDefault="007B2F79" w:rsidP="00C91316">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Sin embargo, l</w:t>
      </w:r>
      <w:r w:rsidR="00862FF6" w:rsidRPr="00A555A1">
        <w:rPr>
          <w:rFonts w:ascii="Century Gothic" w:eastAsia="Century Gothic" w:hAnsi="Century Gothic" w:cs="Century Gothic"/>
        </w:rPr>
        <w:t xml:space="preserve">o </w:t>
      </w:r>
      <w:r w:rsidR="00C91316" w:rsidRPr="00A555A1">
        <w:rPr>
          <w:rFonts w:ascii="Century Gothic" w:eastAsia="Century Gothic" w:hAnsi="Century Gothic" w:cs="Century Gothic"/>
        </w:rPr>
        <w:t>más</w:t>
      </w:r>
      <w:r w:rsidR="00862FF6" w:rsidRPr="00A555A1">
        <w:rPr>
          <w:rFonts w:ascii="Century Gothic" w:eastAsia="Century Gothic" w:hAnsi="Century Gothic" w:cs="Century Gothic"/>
        </w:rPr>
        <w:t xml:space="preserve"> grave y lesivo para la suscrita</w:t>
      </w:r>
      <w:r w:rsidRPr="00A555A1">
        <w:rPr>
          <w:rFonts w:ascii="Century Gothic" w:eastAsia="Century Gothic" w:hAnsi="Century Gothic" w:cs="Century Gothic"/>
        </w:rPr>
        <w:t xml:space="preserve"> persona quejosa</w:t>
      </w:r>
      <w:r w:rsidR="00862FF6" w:rsidRPr="00A555A1">
        <w:rPr>
          <w:rFonts w:ascii="Century Gothic" w:eastAsia="Century Gothic" w:hAnsi="Century Gothic" w:cs="Century Gothic"/>
        </w:rPr>
        <w:t>, es que el </w:t>
      </w:r>
      <w:r w:rsidR="00862FF6" w:rsidRPr="00A555A1">
        <w:rPr>
          <w:rFonts w:ascii="Century Gothic" w:eastAsia="Century Gothic" w:hAnsi="Century Gothic" w:cs="Century Gothic"/>
          <w:b/>
          <w:bCs/>
        </w:rPr>
        <w:t>artículo 308</w:t>
      </w:r>
      <w:r w:rsidR="00862FF6" w:rsidRPr="00A555A1">
        <w:rPr>
          <w:rFonts w:ascii="Century Gothic" w:eastAsia="Century Gothic" w:hAnsi="Century Gothic" w:cs="Century Gothic"/>
        </w:rPr>
        <w:t xml:space="preserve"> de la propia CUB prohíbe expresamente a los </w:t>
      </w:r>
      <w:r w:rsidR="00862FF6" w:rsidRPr="00A555A1">
        <w:rPr>
          <w:rFonts w:ascii="Century Gothic" w:eastAsia="Century Gothic" w:hAnsi="Century Gothic" w:cs="Century Gothic"/>
        </w:rPr>
        <w:lastRenderedPageBreak/>
        <w:t>bancos otorgar dispositivos físicos para generar estas claves, al ordenar textualmente que: </w:t>
      </w:r>
      <w:r w:rsidR="00497D40" w:rsidRPr="00A555A1">
        <w:rPr>
          <w:rFonts w:ascii="Century Gothic" w:eastAsia="Century Gothic" w:hAnsi="Century Gothic" w:cs="Century Gothic"/>
          <w:i/>
          <w:iCs/>
        </w:rPr>
        <w:t>“</w:t>
      </w:r>
      <w:r w:rsidR="00C91316" w:rsidRPr="00A555A1">
        <w:rPr>
          <w:rFonts w:ascii="Century Gothic" w:eastAsia="Century Gothic" w:hAnsi="Century Gothic" w:cs="Century Gothic"/>
          <w:i/>
          <w:iCs/>
        </w:rPr>
        <w:t>T</w:t>
      </w:r>
      <w:r w:rsidR="00862FF6" w:rsidRPr="00A555A1">
        <w:rPr>
          <w:rFonts w:ascii="Century Gothic" w:eastAsia="Century Gothic" w:hAnsi="Century Gothic" w:cs="Century Gothic"/>
          <w:i/>
          <w:iCs/>
        </w:rPr>
        <w:t>ratándose del Factor de Autenticación Categoría 3, las Instituciones no podrán considerar el uso de medios o dispositivos electrónicos externos o físicos entregados a sus Usuarios que generan Contraseñas dinámicas de un solo uso, ni las tablas aleatorias de Contraseña.</w:t>
      </w:r>
      <w:r w:rsidR="00497D40" w:rsidRPr="00A555A1">
        <w:rPr>
          <w:rFonts w:ascii="Century Gothic" w:eastAsia="Century Gothic" w:hAnsi="Century Gothic" w:cs="Century Gothic"/>
          <w:i/>
          <w:iCs/>
        </w:rPr>
        <w:t>”</w:t>
      </w:r>
    </w:p>
    <w:p w14:paraId="19C9A43E" w14:textId="68874C72" w:rsidR="00862FF6" w:rsidRPr="00A555A1" w:rsidRDefault="00862FF6" w:rsidP="00862FF6">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Al prohibir los tokens físicos o de hardware, el Estado Mexicano ha convertido al teléfono móvil (a través de aplicaciones bancarias o soft tokens) en el </w:t>
      </w:r>
      <w:r w:rsidRPr="00A555A1">
        <w:rPr>
          <w:rFonts w:ascii="Century Gothic" w:eastAsia="Century Gothic" w:hAnsi="Century Gothic" w:cs="Century Gothic"/>
          <w:b/>
          <w:bCs/>
        </w:rPr>
        <w:t>único generador legal y materialmente válido</w:t>
      </w:r>
      <w:r w:rsidRPr="00A555A1">
        <w:rPr>
          <w:rFonts w:ascii="Century Gothic" w:eastAsia="Century Gothic" w:hAnsi="Century Gothic" w:cs="Century Gothic"/>
        </w:rPr>
        <w:t> para autorizar operaciones financieras.</w:t>
      </w:r>
    </w:p>
    <w:p w14:paraId="67AE948B" w14:textId="41BE07FC" w:rsidR="00862FF6" w:rsidRPr="00A555A1" w:rsidRDefault="00862FF6" w:rsidP="00862FF6">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En consecuencia, la sanción de</w:t>
      </w:r>
      <w:r w:rsidR="00C91316" w:rsidRPr="00A555A1">
        <w:rPr>
          <w:rFonts w:ascii="Century Gothic" w:eastAsia="Century Gothic" w:hAnsi="Century Gothic" w:cs="Century Gothic"/>
        </w:rPr>
        <w:t xml:space="preserve"> </w:t>
      </w:r>
      <w:r w:rsidR="00067F91">
        <w:rPr>
          <w:rFonts w:ascii="Century Gothic" w:eastAsia="Century Gothic" w:hAnsi="Century Gothic" w:cs="Century Gothic"/>
        </w:rPr>
        <w:t>d</w:t>
      </w:r>
      <w:r w:rsidRPr="00A555A1">
        <w:rPr>
          <w:rFonts w:ascii="Century Gothic" w:eastAsia="Century Gothic" w:hAnsi="Century Gothic" w:cs="Century Gothic"/>
        </w:rPr>
        <w:t>esvinculación y suspensión de la línea telefónica impuesta por la autoridad responsable en materia de telecomunicaciones detona una parálisis absoluta</w:t>
      </w:r>
      <w:r w:rsidR="00497D40" w:rsidRPr="00A555A1">
        <w:rPr>
          <w:rFonts w:ascii="Century Gothic" w:eastAsia="Century Gothic" w:hAnsi="Century Gothic" w:cs="Century Gothic"/>
        </w:rPr>
        <w:t>, ya que a</w:t>
      </w:r>
      <w:r w:rsidRPr="00A555A1">
        <w:rPr>
          <w:rFonts w:ascii="Century Gothic" w:eastAsia="Century Gothic" w:hAnsi="Century Gothic" w:cs="Century Gothic"/>
        </w:rPr>
        <w:t>l dejarme sin línea y sin conectividad móvil, el Estado no solo me incomunica, sino que me arrebata el único dispositivo autorizado por la CNBV para generar mis tokens</w:t>
      </w:r>
      <w:r w:rsidR="00497D40" w:rsidRPr="00A555A1">
        <w:rPr>
          <w:rFonts w:ascii="Century Gothic" w:eastAsia="Century Gothic" w:hAnsi="Century Gothic" w:cs="Century Gothic"/>
        </w:rPr>
        <w:t xml:space="preserve"> </w:t>
      </w:r>
      <w:r w:rsidRPr="00A555A1">
        <w:rPr>
          <w:rFonts w:ascii="Century Gothic" w:eastAsia="Century Gothic" w:hAnsi="Century Gothic" w:cs="Century Gothic"/>
        </w:rPr>
        <w:t>dinámicos. Esto significa que la desconexión telefónica produce el secuestro inmediato y total de mis recursos financieros, impidiéndome realizar transferencias, pagar contribuciones</w:t>
      </w:r>
      <w:r w:rsidR="00497D40" w:rsidRPr="00A555A1">
        <w:rPr>
          <w:rFonts w:ascii="Century Gothic" w:eastAsia="Century Gothic" w:hAnsi="Century Gothic" w:cs="Century Gothic"/>
        </w:rPr>
        <w:t xml:space="preserve">, estar al tanto de fraudes </w:t>
      </w:r>
      <w:r w:rsidRPr="00A555A1">
        <w:rPr>
          <w:rFonts w:ascii="Century Gothic" w:eastAsia="Century Gothic" w:hAnsi="Century Gothic" w:cs="Century Gothic"/>
        </w:rPr>
        <w:t>o disponer de mi patrimonio incluso a través de una computadora de escritorio</w:t>
      </w:r>
      <w:r w:rsidR="004F3C91" w:rsidRPr="00A555A1">
        <w:rPr>
          <w:rFonts w:ascii="Century Gothic" w:eastAsia="Century Gothic" w:hAnsi="Century Gothic" w:cs="Century Gothic"/>
        </w:rPr>
        <w:t xml:space="preserve">, demostrándose </w:t>
      </w:r>
      <w:r w:rsidRPr="00A555A1">
        <w:rPr>
          <w:rFonts w:ascii="Century Gothic" w:eastAsia="Century Gothic" w:hAnsi="Century Gothic" w:cs="Century Gothic"/>
        </w:rPr>
        <w:t>así que la coacción es absoluta, la medida es irracional y la destrucción de mi proyecto de vida es un daño inminente e irreparable orquestado sistémicamente por el Estado.</w:t>
      </w:r>
    </w:p>
    <w:p w14:paraId="171A5EE4" w14:textId="087A2A18"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A lo anterior, debe sumarse la </w:t>
      </w:r>
      <w:r w:rsidRPr="00A555A1">
        <w:rPr>
          <w:rFonts w:ascii="Century Gothic" w:eastAsia="Century Gothic" w:hAnsi="Century Gothic" w:cs="Century Gothic"/>
          <w:b/>
          <w:bCs/>
        </w:rPr>
        <w:t>violación a la interdependencia de derechos</w:t>
      </w:r>
      <w:r w:rsidRPr="00A555A1">
        <w:rPr>
          <w:rFonts w:ascii="Century Gothic" w:eastAsia="Century Gothic" w:hAnsi="Century Gothic" w:cs="Century Gothic"/>
        </w:rPr>
        <w:t xml:space="preserve">, tal como se planteó en conceptos de violación anteriores. La desconexión del celular imposibilita el cumplimiento de obligaciones fiscales ineludibles frente al SAT (Buzón Tributario) y atenta contra otros derechos, como el derecho a la salud </w:t>
      </w:r>
      <w:r w:rsidR="004F3C91" w:rsidRPr="00A555A1">
        <w:rPr>
          <w:rFonts w:ascii="Century Gothic" w:eastAsia="Century Gothic" w:hAnsi="Century Gothic" w:cs="Century Gothic"/>
        </w:rPr>
        <w:t>—</w:t>
      </w:r>
      <w:r w:rsidRPr="00A555A1">
        <w:rPr>
          <w:rFonts w:ascii="Century Gothic" w:eastAsia="Century Gothic" w:hAnsi="Century Gothic" w:cs="Century Gothic"/>
        </w:rPr>
        <w:t>al impedir el acceso a aplicaciones institucionales de seguridad social como IMSS DIGITAL</w:t>
      </w:r>
      <w:r w:rsidR="004F3C91" w:rsidRPr="00A555A1">
        <w:rPr>
          <w:rFonts w:ascii="Century Gothic" w:eastAsia="Century Gothic" w:hAnsi="Century Gothic" w:cs="Century Gothic"/>
        </w:rPr>
        <w:t>—, libertad de expresión, asociación y protesta en el entorno digital</w:t>
      </w:r>
    </w:p>
    <w:p w14:paraId="69B6FF5B" w14:textId="0CF751BD" w:rsidR="00001DF2" w:rsidRPr="00A555A1" w:rsidRDefault="00000000">
      <w:pPr>
        <w:spacing w:line="360" w:lineRule="auto"/>
        <w:ind w:firstLine="1418"/>
        <w:jc w:val="both"/>
        <w:rPr>
          <w:rFonts w:ascii="Century Gothic" w:eastAsia="Century Gothic" w:hAnsi="Century Gothic" w:cs="Century Gothic"/>
          <w:b/>
          <w:bCs/>
        </w:rPr>
      </w:pPr>
      <w:r w:rsidRPr="00A555A1">
        <w:rPr>
          <w:rFonts w:ascii="Century Gothic" w:eastAsia="Century Gothic" w:hAnsi="Century Gothic" w:cs="Century Gothic"/>
        </w:rPr>
        <w:t xml:space="preserve">Es aquí donde el test de proporcionalidad estricta (y el de no regresividad exigido por la SCJN) fracasan de manera estrepitosa para las normas combatidas, al quedar demostrado en los conceptos de violación que anteceden, que </w:t>
      </w:r>
      <w:r w:rsidRPr="00A555A1">
        <w:rPr>
          <w:rFonts w:ascii="Century Gothic" w:eastAsia="Century Gothic" w:hAnsi="Century Gothic" w:cs="Century Gothic"/>
          <w:b/>
          <w:bCs/>
        </w:rPr>
        <w:t>la medida</w:t>
      </w:r>
      <w:r w:rsidR="004F3C91" w:rsidRPr="00A555A1">
        <w:rPr>
          <w:rFonts w:ascii="Century Gothic" w:eastAsia="Century Gothic" w:hAnsi="Century Gothic" w:cs="Century Gothic"/>
          <w:b/>
          <w:bCs/>
        </w:rPr>
        <w:t xml:space="preserve"> </w:t>
      </w:r>
      <w:r w:rsidR="004F3C91" w:rsidRPr="00A555A1">
        <w:rPr>
          <w:rFonts w:ascii="Century Gothic" w:eastAsia="Century Gothic" w:hAnsi="Century Gothic" w:cs="Century Gothic"/>
        </w:rPr>
        <w:t>—</w:t>
      </w:r>
      <w:r w:rsidRPr="00A555A1">
        <w:rPr>
          <w:rFonts w:ascii="Century Gothic" w:eastAsia="Century Gothic" w:hAnsi="Century Gothic" w:cs="Century Gothic"/>
        </w:rPr>
        <w:t>conforme el caso PANAUT, de aplicación obligatoria</w:t>
      </w:r>
      <w:r w:rsidR="004F3C91" w:rsidRPr="00A555A1">
        <w:rPr>
          <w:rFonts w:ascii="Century Gothic" w:eastAsia="Century Gothic" w:hAnsi="Century Gothic" w:cs="Century Gothic"/>
        </w:rPr>
        <w:t>—</w:t>
      </w:r>
      <w:r w:rsidRPr="00A555A1">
        <w:rPr>
          <w:rFonts w:ascii="Century Gothic" w:eastAsia="Century Gothic" w:hAnsi="Century Gothic" w:cs="Century Gothic"/>
        </w:rPr>
        <w:t xml:space="preserve"> </w:t>
      </w:r>
      <w:r w:rsidRPr="00A555A1">
        <w:rPr>
          <w:rFonts w:ascii="Century Gothic" w:eastAsia="Century Gothic" w:hAnsi="Century Gothic" w:cs="Century Gothic"/>
          <w:b/>
          <w:bCs/>
        </w:rPr>
        <w:t>no supera la grada de necesidad.</w:t>
      </w:r>
    </w:p>
    <w:p w14:paraId="42BF3755" w14:textId="40CA56F6" w:rsidR="00001DF2" w:rsidRPr="00A555A1" w:rsidRDefault="00C91316">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Por lo tanto, ha quedado fehacientemente demostrado en la realidad que el Estado no necesita someter a la ciudadanía —exigiendo el </w:t>
      </w:r>
      <w:r w:rsidRPr="00A555A1">
        <w:rPr>
          <w:rFonts w:ascii="Century Gothic" w:eastAsia="Century Gothic" w:hAnsi="Century Gothic" w:cs="Century Gothic"/>
        </w:rPr>
        <w:lastRenderedPageBreak/>
        <w:t>tratamiento de su biometría a cambio de su conectividad— para combatir a los delitos de extorsión y secuestro. Tal como lo informó oficial y públicamente el titular de la Secretaría de Seguridad y Protección Ciudadana (en adelante, SSPC), Omar García Harfuch, el Estado Mexicano ya cuenta con estrategias de procuración de justicia eficaces. A través de sus canales institucionales, el funcionario confirmó que la coordinación del Gabinete de Seguridad ha permitido fortalecer la Estrategia Nacional de Seguridad con resultados concretos, revelando textualmente lo siguiente:</w:t>
      </w:r>
    </w:p>
    <w:p w14:paraId="3CBA93BE" w14:textId="77777777" w:rsidR="00001DF2" w:rsidRPr="00A555A1" w:rsidRDefault="00000000">
      <w:pPr>
        <w:spacing w:line="360" w:lineRule="auto"/>
        <w:ind w:left="851" w:right="618"/>
        <w:jc w:val="both"/>
        <w:rPr>
          <w:rFonts w:ascii="Century Gothic" w:eastAsia="Century Gothic" w:hAnsi="Century Gothic" w:cs="Century Gothic"/>
          <w:sz w:val="20"/>
          <w:szCs w:val="20"/>
        </w:rPr>
      </w:pPr>
      <w:r w:rsidRPr="00A555A1">
        <w:rPr>
          <w:rFonts w:ascii="Century Gothic" w:eastAsia="Century Gothic" w:hAnsi="Century Gothic" w:cs="Century Gothic"/>
          <w:i/>
          <w:iCs/>
          <w:sz w:val="20"/>
          <w:szCs w:val="20"/>
        </w:rPr>
        <w:t>Como parte de la Estrategia Nacional contra la Extorsión, han sido detenidos mil 468 extorsionadores en 24 entidades. (...) Más de 56 mil detenidos por delitos de alto impacto. 29 mil 500 armas de fuego aseguradas. Cerca de 420 toneladas de droga incautadas. 2 mil 407 laboratorios destruidos. (...) Estas acciones han contribuido a reducir en 46% el promedio diario de homicidios dolosos a nivel nacional,(…)</w:t>
      </w:r>
      <w:r w:rsidRPr="00A555A1">
        <w:rPr>
          <w:rFonts w:ascii="Century Gothic" w:eastAsia="Century Gothic" w:hAnsi="Century Gothic" w:cs="Century Gothic"/>
          <w:sz w:val="20"/>
          <w:szCs w:val="20"/>
          <w:vertAlign w:val="superscript"/>
        </w:rPr>
        <w:footnoteReference w:id="163"/>
      </w:r>
      <w:r w:rsidRPr="00A555A1">
        <w:rPr>
          <w:rFonts w:ascii="Century Gothic" w:eastAsia="Century Gothic" w:hAnsi="Century Gothic" w:cs="Century Gothic"/>
          <w:sz w:val="20"/>
          <w:szCs w:val="20"/>
        </w:rPr>
        <w:t>.</w:t>
      </w:r>
    </w:p>
    <w:p w14:paraId="5CC2AE06"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Estas cifras oficiales, emitidas y documentadas antes de que se materializara la inconstitucional suspensión de la línea telefónica objeto del acto reclamado, prueban de manera indubitable que el Estado Mexicano cuenta con la capacidad, la inteligencia y las herramientas procesales idóneas para desarticular estructuras criminales y combatir la extorsión, sin la necesidad de imponer un sistema de vigilancia masiva ni conculcar los derechos de usuarios inocentes.</w:t>
      </w:r>
    </w:p>
    <w:p w14:paraId="339AF964"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A mayor abundamiento, la falta absoluta de necesidad de esta medida coactiva queda al descubierto al analizar el propio andamiaje legal vigente, pues el Estado no adolece de un vacío normativo para investigar, por el contrario, el </w:t>
      </w:r>
      <w:r w:rsidRPr="00A555A1">
        <w:rPr>
          <w:rFonts w:ascii="Century Gothic" w:eastAsia="Century Gothic" w:hAnsi="Century Gothic" w:cs="Century Gothic"/>
          <w:b/>
          <w:bCs/>
        </w:rPr>
        <w:t>artículo 183 de la LMTR</w:t>
      </w:r>
      <w:r w:rsidRPr="00A555A1">
        <w:rPr>
          <w:rFonts w:ascii="Century Gothic" w:eastAsia="Century Gothic" w:hAnsi="Century Gothic" w:cs="Century Gothic"/>
        </w:rPr>
        <w:t>, como se argumentó, en perfecta articulación con el CNPP y LGN, ya impone a los concesionarios la obligación de colaborar con las autoridades de procuración de justicia para el combate del delito mediante la retención de datos de tráfico, la localización geográfica en tiempo real, bloqueo en centros penitenciarios y la intervención de comunicaciones privadas.</w:t>
      </w:r>
    </w:p>
    <w:p w14:paraId="5B5E49AB" w14:textId="77777777" w:rsidR="00001DF2" w:rsidRPr="00A555A1" w:rsidRDefault="00000000">
      <w:pPr>
        <w:spacing w:line="360" w:lineRule="auto"/>
        <w:ind w:firstLine="1418"/>
        <w:jc w:val="both"/>
        <w:rPr>
          <w:rFonts w:ascii="Century Gothic" w:eastAsia="Century Gothic" w:hAnsi="Century Gothic" w:cs="Century Gothic"/>
          <w:b/>
          <w:bCs/>
        </w:rPr>
      </w:pPr>
      <w:r w:rsidRPr="00A555A1">
        <w:rPr>
          <w:rFonts w:ascii="Century Gothic" w:eastAsia="Century Gothic" w:hAnsi="Century Gothic" w:cs="Century Gothic"/>
        </w:rPr>
        <w:t xml:space="preserve">La diferencia toral —y la razón por la cual el sistema normativo aquí combatido es un fraude a la CPEUM y a los precedentes de la SCJN— estriba en que el CNPP y la LGN sí erigen una salvaguarda democrática ineludible, pues se condiciona el uso de estas herramientas de investigación a la justificación, autorización y escrutinio de una </w:t>
      </w:r>
      <w:r w:rsidRPr="00A555A1">
        <w:rPr>
          <w:rFonts w:ascii="Century Gothic" w:eastAsia="Century Gothic" w:hAnsi="Century Gothic" w:cs="Century Gothic"/>
          <w:b/>
          <w:bCs/>
        </w:rPr>
        <w:t>orden judicial previa</w:t>
      </w:r>
    </w:p>
    <w:p w14:paraId="4B3D04E1"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lastRenderedPageBreak/>
        <w:t>Por el contrario, el artículo 183 de la LMTR carece de este control jurisdiccional estricto de manera generalizada, reservándolo únicamente para el caso de intervenir comunicaciones privadas. El fraude constitucional radica en que, al imponer de forma administrativa un registro de datos personales y personales sensibles masivo bajo la amenaza de suspender la línea, el Estado facilita que las autoridades investigadoras fundamenten sus peticiones de información en la LMTR, eludiendo tramitar y justificar las órdenes judiciales que estrictamente les exigen el CNPP y la LGN.</w:t>
      </w:r>
    </w:p>
    <w:p w14:paraId="7EF10AD2"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A través de esta simulación legal, se pretende instaurar un mecanismo de vigilancia automática e indiscriminada que burla el control judicial previsto para las investigaciones penales reales, tratando a todos los ciudadanos como sospechosos habituales y castigando su negativa a entregar su biometría con el destierro digital.</w:t>
      </w:r>
    </w:p>
    <w:p w14:paraId="00390764"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Por lo tanto, ningún beneficio, por mínimo que sea, en materia de seguridad pública puede justificar que el Estado prive a una persona de la libre disposición de los bienes fruto de su trabajo, la excluya de manera coactiva del sistema financiero formal y obstaculice su proyecto de vida. Pues ha quedado demostrado que la telefonía móvil —como lo señaló la propia ABM— constituye la llave de acceso a la banca digital y, en consecuencia, a los recursos económicos indispensables para la subsistencia; de modo que vulnerar la autonomía patrimonial equivale a desmantelar el núcleo esencial del proyecto de vida, protegido por criterios orientadores y precedentes de la SCJN y de la Corte IDH.</w:t>
      </w:r>
    </w:p>
    <w:p w14:paraId="26DD266D" w14:textId="0EC8A767" w:rsidR="00001DF2" w:rsidRPr="00F1097C"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En consecuencia, es incontrovertible que </w:t>
      </w:r>
      <w:r w:rsidR="004F3C91" w:rsidRPr="00A555A1">
        <w:rPr>
          <w:rFonts w:ascii="Century Gothic" w:eastAsia="Century Gothic" w:hAnsi="Century Gothic" w:cs="Century Gothic"/>
        </w:rPr>
        <w:t>los artículos</w:t>
      </w:r>
      <w:r w:rsidRPr="00A555A1">
        <w:rPr>
          <w:rFonts w:ascii="Century Gothic" w:eastAsia="Century Gothic" w:hAnsi="Century Gothic" w:cs="Century Gothic"/>
        </w:rPr>
        <w:t xml:space="preserve"> 103</w:t>
      </w:r>
      <w:r w:rsidR="004F3C91" w:rsidRPr="00A555A1">
        <w:rPr>
          <w:rFonts w:ascii="Century Gothic" w:eastAsia="Century Gothic" w:hAnsi="Century Gothic" w:cs="Century Gothic"/>
        </w:rPr>
        <w:t xml:space="preserve"> y 183</w:t>
      </w:r>
      <w:r w:rsidRPr="00A555A1">
        <w:rPr>
          <w:rFonts w:ascii="Century Gothic" w:eastAsia="Century Gothic" w:hAnsi="Century Gothic" w:cs="Century Gothic"/>
        </w:rPr>
        <w:t xml:space="preserve"> de la LMTR y los Lineamientos impugnados devienen absolutamente inconstitucionales e inconvencionales al </w:t>
      </w:r>
      <w:r w:rsidRPr="00A555A1">
        <w:rPr>
          <w:rFonts w:ascii="Century Gothic" w:eastAsia="Century Gothic" w:hAnsi="Century Gothic" w:cs="Century Gothic"/>
          <w:b/>
          <w:bCs/>
        </w:rPr>
        <w:t>violar de forma directa e irreparable los artículos 1o., 5o. y 16 de la CPEUM.</w:t>
      </w:r>
      <w:r w:rsidR="00F1097C">
        <w:rPr>
          <w:rFonts w:ascii="Century Gothic" w:eastAsia="Century Gothic" w:hAnsi="Century Gothic" w:cs="Century Gothic"/>
          <w:b/>
          <w:bCs/>
        </w:rPr>
        <w:t xml:space="preserve"> </w:t>
      </w:r>
      <w:r w:rsidR="00F1097C" w:rsidRPr="00F1097C">
        <w:rPr>
          <w:rFonts w:ascii="Century Gothic" w:eastAsia="Century Gothic" w:hAnsi="Century Gothic" w:cs="Century Gothic"/>
        </w:rPr>
        <w:t>{{TERMINA_CONCEPTO_SEXTO}}</w:t>
      </w:r>
    </w:p>
    <w:p w14:paraId="0D17E5B0" w14:textId="7A0B2A50"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Por todo lo expuesto y fundado a lo largo de este escrito, y al haberse desvirtuado la presunción de constitucionalidad del sistema normativo reclamado, lo procedente y apegado a derecho es que es</w:t>
      </w:r>
      <w:r w:rsidR="006C6C42" w:rsidRPr="00A555A1">
        <w:rPr>
          <w:rFonts w:ascii="Century Gothic" w:eastAsia="Century Gothic" w:hAnsi="Century Gothic" w:cs="Century Gothic"/>
        </w:rPr>
        <w:t>t</w:t>
      </w:r>
      <w:r w:rsidRPr="00A555A1">
        <w:rPr>
          <w:rFonts w:ascii="Century Gothic" w:eastAsia="Century Gothic" w:hAnsi="Century Gothic" w:cs="Century Gothic"/>
        </w:rPr>
        <w:t xml:space="preserve">e H. Juzgado de Distrito otorgue el </w:t>
      </w:r>
      <w:r w:rsidR="004F3C91" w:rsidRPr="00A555A1">
        <w:rPr>
          <w:rFonts w:ascii="Century Gothic" w:eastAsia="Century Gothic" w:hAnsi="Century Gothic" w:cs="Century Gothic"/>
        </w:rPr>
        <w:t>amparo</w:t>
      </w:r>
      <w:r w:rsidRPr="00A555A1">
        <w:rPr>
          <w:rFonts w:ascii="Century Gothic" w:eastAsia="Century Gothic" w:hAnsi="Century Gothic" w:cs="Century Gothic"/>
        </w:rPr>
        <w:t xml:space="preserve"> de la Justicia Federal a favor de la parte quejosa, ordenando la inaplicación presente y futura de las normas combatidas.</w:t>
      </w:r>
    </w:p>
    <w:p w14:paraId="68D35ABD" w14:textId="77777777" w:rsidR="00001DF2" w:rsidRPr="00A555A1" w:rsidRDefault="00001DF2">
      <w:pPr>
        <w:spacing w:line="360" w:lineRule="auto"/>
        <w:ind w:firstLine="1418"/>
        <w:jc w:val="both"/>
        <w:rPr>
          <w:rFonts w:ascii="Century Gothic" w:eastAsia="Century Gothic" w:hAnsi="Century Gothic" w:cs="Century Gothic"/>
        </w:rPr>
      </w:pPr>
    </w:p>
    <w:p w14:paraId="09451ED0" w14:textId="67DA71F2" w:rsidR="004352FB" w:rsidRDefault="00E309B9" w:rsidP="004352FB">
      <w:pPr>
        <w:spacing w:line="360" w:lineRule="auto"/>
        <w:jc w:val="center"/>
        <w:rPr>
          <w:rFonts w:ascii="Century Gothic" w:eastAsia="Century Gothic" w:hAnsi="Century Gothic" w:cs="Century Gothic"/>
          <w:b/>
          <w:bCs/>
        </w:rPr>
      </w:pPr>
      <w:r w:rsidRPr="00E309B9">
        <w:rPr>
          <w:rFonts w:ascii="Century Gothic" w:eastAsia="Century Gothic" w:hAnsi="Century Gothic" w:cs="Century Gothic"/>
          <w:bCs/>
        </w:rPr>
        <w:t>{{</w:t>
      </w:r>
      <w:r w:rsidR="00F1097C" w:rsidRPr="00E309B9">
        <w:rPr>
          <w:rFonts w:ascii="Century Gothic" w:eastAsia="Century Gothic" w:hAnsi="Century Gothic" w:cs="Century Gothic"/>
          <w:bCs/>
        </w:rPr>
        <w:t>INICIA_SUPLENCIA</w:t>
      </w:r>
      <w:r w:rsidRPr="00E309B9">
        <w:rPr>
          <w:rFonts w:ascii="Century Gothic" w:eastAsia="Century Gothic" w:hAnsi="Century Gothic" w:cs="Century Gothic"/>
          <w:bCs/>
        </w:rPr>
        <w:t>}}</w:t>
      </w:r>
      <w:r w:rsidR="00F1097C">
        <w:rPr>
          <w:rFonts w:ascii="Century Gothic" w:eastAsia="Century Gothic" w:hAnsi="Century Gothic" w:cs="Century Gothic"/>
          <w:b/>
          <w:bCs/>
        </w:rPr>
        <w:t xml:space="preserve"> </w:t>
      </w:r>
      <w:r w:rsidR="004352FB">
        <w:rPr>
          <w:rFonts w:ascii="Century Gothic" w:eastAsia="Century Gothic" w:hAnsi="Century Gothic" w:cs="Century Gothic"/>
          <w:b/>
          <w:bCs/>
        </w:rPr>
        <w:t>SUPLENCIA DE LA QUEJA:</w:t>
      </w:r>
    </w:p>
    <w:p w14:paraId="3BBBD4B3" w14:textId="77777777" w:rsidR="004352FB" w:rsidRPr="00AF483D" w:rsidRDefault="004352FB" w:rsidP="004352FB">
      <w:pPr>
        <w:spacing w:line="360" w:lineRule="auto"/>
        <w:jc w:val="both"/>
        <w:rPr>
          <w:rFonts w:ascii="Century Gothic" w:eastAsia="Century Gothic" w:hAnsi="Century Gothic" w:cs="Century Gothic"/>
        </w:rPr>
      </w:pPr>
      <w:r w:rsidRPr="00AF483D">
        <w:rPr>
          <w:rFonts w:ascii="Century Gothic" w:eastAsia="Century Gothic" w:hAnsi="Century Gothic" w:cs="Century Gothic"/>
        </w:rPr>
        <w:lastRenderedPageBreak/>
        <w:t xml:space="preserve">De conformidad con los artículos </w:t>
      </w:r>
      <w:r w:rsidRPr="00AF483D">
        <w:rPr>
          <w:rFonts w:ascii="Century Gothic" w:eastAsia="Century Gothic" w:hAnsi="Century Gothic" w:cs="Century Gothic"/>
          <w:b/>
          <w:bCs/>
        </w:rPr>
        <w:t>76, 77, 78 y 79</w:t>
      </w:r>
      <w:r w:rsidRPr="00AF483D">
        <w:rPr>
          <w:rFonts w:ascii="Century Gothic" w:eastAsia="Century Gothic" w:hAnsi="Century Gothic" w:cs="Century Gothic"/>
        </w:rPr>
        <w:t xml:space="preserve"> de la Ley de Amparo, así como con el </w:t>
      </w:r>
      <w:r>
        <w:rPr>
          <w:rFonts w:ascii="Century Gothic" w:eastAsia="Century Gothic" w:hAnsi="Century Gothic" w:cs="Century Gothic"/>
        </w:rPr>
        <w:t xml:space="preserve">principio pro persona, contemplado en el </w:t>
      </w:r>
      <w:r w:rsidRPr="00AF483D">
        <w:rPr>
          <w:rFonts w:ascii="Century Gothic" w:eastAsia="Century Gothic" w:hAnsi="Century Gothic" w:cs="Century Gothic"/>
        </w:rPr>
        <w:t xml:space="preserve">artículo </w:t>
      </w:r>
      <w:r w:rsidRPr="00AF483D">
        <w:rPr>
          <w:rFonts w:ascii="Century Gothic" w:eastAsia="Century Gothic" w:hAnsi="Century Gothic" w:cs="Century Gothic"/>
          <w:b/>
          <w:bCs/>
        </w:rPr>
        <w:t>1º</w:t>
      </w:r>
      <w:r w:rsidRPr="00AF483D">
        <w:rPr>
          <w:rFonts w:ascii="Century Gothic" w:eastAsia="Century Gothic" w:hAnsi="Century Gothic" w:cs="Century Gothic"/>
        </w:rPr>
        <w:t xml:space="preserve"> de la </w:t>
      </w:r>
      <w:r>
        <w:rPr>
          <w:rFonts w:ascii="Century Gothic" w:eastAsia="Century Gothic" w:hAnsi="Century Gothic" w:cs="Century Gothic"/>
        </w:rPr>
        <w:t>CPEUM</w:t>
      </w:r>
      <w:r w:rsidRPr="00AF483D">
        <w:rPr>
          <w:rFonts w:ascii="Century Gothic" w:eastAsia="Century Gothic" w:hAnsi="Century Gothic" w:cs="Century Gothic"/>
        </w:rPr>
        <w:t>, este H. Juzgado de Distrito se encuentra obligado a suplir de oficio la deficiencia de la queja en el presente juicio.</w:t>
      </w:r>
    </w:p>
    <w:p w14:paraId="2FDBA747" w14:textId="1F7FADF5" w:rsidR="004352FB" w:rsidRPr="00AF483D" w:rsidRDefault="004352FB" w:rsidP="004352FB">
      <w:pPr>
        <w:spacing w:line="360" w:lineRule="auto"/>
        <w:ind w:firstLine="1418"/>
        <w:jc w:val="both"/>
        <w:rPr>
          <w:rFonts w:ascii="Century Gothic" w:eastAsia="Century Gothic" w:hAnsi="Century Gothic" w:cs="Century Gothic"/>
        </w:rPr>
      </w:pPr>
      <w:r w:rsidRPr="00AF483D">
        <w:rPr>
          <w:rFonts w:ascii="Century Gothic" w:eastAsia="Century Gothic" w:hAnsi="Century Gothic" w:cs="Century Gothic"/>
        </w:rPr>
        <w:t xml:space="preserve">La </w:t>
      </w:r>
      <w:r>
        <w:rPr>
          <w:rFonts w:ascii="Century Gothic" w:eastAsia="Century Gothic" w:hAnsi="Century Gothic" w:cs="Century Gothic"/>
        </w:rPr>
        <w:t xml:space="preserve">suscrita persona </w:t>
      </w:r>
      <w:r w:rsidRPr="00AF483D">
        <w:rPr>
          <w:rFonts w:ascii="Century Gothic" w:eastAsia="Century Gothic" w:hAnsi="Century Gothic" w:cs="Century Gothic"/>
        </w:rPr>
        <w:t xml:space="preserve">quejosa ostenta la calidad de </w:t>
      </w:r>
      <w:r>
        <w:rPr>
          <w:rFonts w:ascii="Century Gothic" w:eastAsia="Century Gothic" w:hAnsi="Century Gothic" w:cs="Century Gothic"/>
        </w:rPr>
        <w:t>{{CONDICION}}</w:t>
      </w:r>
      <w:r w:rsidRPr="00AF483D">
        <w:rPr>
          <w:rFonts w:ascii="Century Gothic" w:eastAsia="Century Gothic" w:hAnsi="Century Gothic" w:cs="Century Gothic"/>
        </w:rPr>
        <w:t xml:space="preserve">, lo que activa </w:t>
      </w:r>
      <w:r>
        <w:rPr>
          <w:rFonts w:ascii="Century Gothic" w:eastAsia="Century Gothic" w:hAnsi="Century Gothic" w:cs="Century Gothic"/>
        </w:rPr>
        <w:t xml:space="preserve">suplir la deficiencia de los conceptos de violación </w:t>
      </w:r>
      <w:r w:rsidRPr="00AF483D">
        <w:rPr>
          <w:rFonts w:ascii="Century Gothic" w:eastAsia="Century Gothic" w:hAnsi="Century Gothic" w:cs="Century Gothic"/>
        </w:rPr>
        <w:t>prevista en las fracciones II, III, V y VII del artículo 79 de la L</w:t>
      </w:r>
      <w:r>
        <w:rPr>
          <w:rFonts w:ascii="Century Gothic" w:eastAsia="Century Gothic" w:hAnsi="Century Gothic" w:cs="Century Gothic"/>
        </w:rPr>
        <w:t>Amp</w:t>
      </w:r>
      <w:r w:rsidRPr="00AF483D">
        <w:rPr>
          <w:rFonts w:ascii="Century Gothic" w:eastAsia="Century Gothic" w:hAnsi="Century Gothic" w:cs="Century Gothic"/>
        </w:rPr>
        <w:t>.</w:t>
      </w:r>
    </w:p>
    <w:p w14:paraId="18AD16E0" w14:textId="77777777" w:rsidR="004352FB" w:rsidRPr="00AF483D" w:rsidRDefault="004352FB" w:rsidP="004352FB">
      <w:pPr>
        <w:spacing w:line="360" w:lineRule="auto"/>
        <w:ind w:firstLine="1418"/>
        <w:jc w:val="both"/>
        <w:rPr>
          <w:rFonts w:ascii="Century Gothic" w:eastAsia="Century Gothic" w:hAnsi="Century Gothic" w:cs="Century Gothic"/>
        </w:rPr>
      </w:pPr>
      <w:r w:rsidRPr="00AF483D">
        <w:rPr>
          <w:rFonts w:ascii="Century Gothic" w:eastAsia="Century Gothic" w:hAnsi="Century Gothic" w:cs="Century Gothic"/>
        </w:rPr>
        <w:t>Esta suplencia se sustenta en:</w:t>
      </w:r>
    </w:p>
    <w:p w14:paraId="43535F2C" w14:textId="77777777" w:rsidR="004352FB" w:rsidRDefault="004352FB" w:rsidP="004352FB">
      <w:pPr>
        <w:pStyle w:val="Prrafodelista"/>
        <w:numPr>
          <w:ilvl w:val="0"/>
          <w:numId w:val="13"/>
        </w:numPr>
        <w:tabs>
          <w:tab w:val="left" w:pos="1843"/>
        </w:tabs>
        <w:spacing w:line="360" w:lineRule="auto"/>
        <w:ind w:left="0" w:firstLine="1418"/>
        <w:jc w:val="both"/>
        <w:rPr>
          <w:rFonts w:ascii="Century Gothic" w:eastAsia="Century Gothic" w:hAnsi="Century Gothic" w:cs="Century Gothic"/>
        </w:rPr>
      </w:pPr>
      <w:r w:rsidRPr="004E1DC7">
        <w:rPr>
          <w:rFonts w:ascii="Century Gothic" w:eastAsia="Century Gothic" w:hAnsi="Century Gothic" w:cs="Century Gothic"/>
          <w:b/>
          <w:bCs/>
        </w:rPr>
        <w:t>Ley General de los Derechos de Niñas, Niños y Adolescentes</w:t>
      </w:r>
      <w:r w:rsidRPr="004E1DC7">
        <w:rPr>
          <w:rFonts w:ascii="Century Gothic" w:eastAsia="Century Gothic" w:hAnsi="Century Gothic" w:cs="Century Gothic"/>
        </w:rPr>
        <w:t xml:space="preserve"> (interés superior de la niñez, artículo 4º constitucional y Convención sobre los Derechos del Niño).</w:t>
      </w:r>
    </w:p>
    <w:p w14:paraId="707705FB" w14:textId="77777777" w:rsidR="004352FB" w:rsidRDefault="004352FB" w:rsidP="004352FB">
      <w:pPr>
        <w:pStyle w:val="Prrafodelista"/>
        <w:numPr>
          <w:ilvl w:val="0"/>
          <w:numId w:val="13"/>
        </w:numPr>
        <w:tabs>
          <w:tab w:val="left" w:pos="1843"/>
        </w:tabs>
        <w:spacing w:line="360" w:lineRule="auto"/>
        <w:ind w:left="0" w:firstLine="1418"/>
        <w:jc w:val="both"/>
        <w:rPr>
          <w:rFonts w:ascii="Century Gothic" w:eastAsia="Century Gothic" w:hAnsi="Century Gothic" w:cs="Century Gothic"/>
        </w:rPr>
      </w:pPr>
      <w:r w:rsidRPr="004E1DC7">
        <w:rPr>
          <w:rFonts w:ascii="Century Gothic" w:eastAsia="Century Gothic" w:hAnsi="Century Gothic" w:cs="Century Gothic"/>
          <w:b/>
          <w:bCs/>
        </w:rPr>
        <w:t>Ley General para la Inclusión de las Personas con Discapacidad</w:t>
      </w:r>
      <w:r w:rsidRPr="004E1DC7">
        <w:rPr>
          <w:rFonts w:ascii="Century Gothic" w:eastAsia="Century Gothic" w:hAnsi="Century Gothic" w:cs="Century Gothic"/>
        </w:rPr>
        <w:t xml:space="preserve"> (protección de derechos de personas con discapacidad y prohibición de discriminación).</w:t>
      </w:r>
    </w:p>
    <w:p w14:paraId="212D56B6" w14:textId="77777777" w:rsidR="004352FB" w:rsidRDefault="004352FB" w:rsidP="004352FB">
      <w:pPr>
        <w:pStyle w:val="Prrafodelista"/>
        <w:numPr>
          <w:ilvl w:val="0"/>
          <w:numId w:val="13"/>
        </w:numPr>
        <w:tabs>
          <w:tab w:val="left" w:pos="1843"/>
        </w:tabs>
        <w:spacing w:line="360" w:lineRule="auto"/>
        <w:ind w:left="0" w:firstLine="1418"/>
        <w:jc w:val="both"/>
        <w:rPr>
          <w:rFonts w:ascii="Century Gothic" w:eastAsia="Century Gothic" w:hAnsi="Century Gothic" w:cs="Century Gothic"/>
        </w:rPr>
      </w:pPr>
      <w:r w:rsidRPr="004E1DC7">
        <w:rPr>
          <w:rFonts w:ascii="Century Gothic" w:eastAsia="Century Gothic" w:hAnsi="Century Gothic" w:cs="Century Gothic"/>
          <w:b/>
          <w:bCs/>
        </w:rPr>
        <w:t>Ley de los Derechos de las Personas Adultas Mayores</w:t>
      </w:r>
      <w:r w:rsidRPr="004E1DC7">
        <w:rPr>
          <w:rFonts w:ascii="Century Gothic" w:eastAsia="Century Gothic" w:hAnsi="Century Gothic" w:cs="Century Gothic"/>
        </w:rPr>
        <w:t xml:space="preserve"> (protección especial a este grupo etario).</w:t>
      </w:r>
    </w:p>
    <w:p w14:paraId="63644694" w14:textId="77777777" w:rsidR="004352FB" w:rsidRPr="004E1DC7" w:rsidRDefault="004352FB" w:rsidP="004352FB">
      <w:pPr>
        <w:pStyle w:val="Prrafodelista"/>
        <w:numPr>
          <w:ilvl w:val="0"/>
          <w:numId w:val="13"/>
        </w:numPr>
        <w:tabs>
          <w:tab w:val="left" w:pos="1843"/>
        </w:tabs>
        <w:spacing w:line="360" w:lineRule="auto"/>
        <w:ind w:left="0" w:firstLine="1418"/>
        <w:jc w:val="both"/>
        <w:rPr>
          <w:rFonts w:ascii="Century Gothic" w:eastAsia="Century Gothic" w:hAnsi="Century Gothic" w:cs="Century Gothic"/>
        </w:rPr>
      </w:pPr>
      <w:r w:rsidRPr="004E1DC7">
        <w:rPr>
          <w:rFonts w:ascii="Century Gothic" w:eastAsia="Century Gothic" w:hAnsi="Century Gothic" w:cs="Century Gothic"/>
        </w:rPr>
        <w:t>Convenio 169 de la OIT (derechos de pueblos y comunidades indígenas).</w:t>
      </w:r>
    </w:p>
    <w:p w14:paraId="18F47A07" w14:textId="77777777" w:rsidR="004352FB" w:rsidRPr="00AF483D" w:rsidRDefault="004352FB" w:rsidP="004352FB">
      <w:pPr>
        <w:spacing w:line="360" w:lineRule="auto"/>
        <w:ind w:firstLine="1418"/>
        <w:jc w:val="both"/>
        <w:rPr>
          <w:rFonts w:ascii="Century Gothic" w:eastAsia="Century Gothic" w:hAnsi="Century Gothic" w:cs="Century Gothic"/>
        </w:rPr>
      </w:pPr>
      <w:r w:rsidRPr="00AF483D">
        <w:rPr>
          <w:rFonts w:ascii="Century Gothic" w:eastAsia="Century Gothic" w:hAnsi="Century Gothic" w:cs="Century Gothic"/>
        </w:rPr>
        <w:t xml:space="preserve">Adicionalmente, </w:t>
      </w:r>
      <w:r>
        <w:rPr>
          <w:rFonts w:ascii="Century Gothic" w:eastAsia="Century Gothic" w:hAnsi="Century Gothic" w:cs="Century Gothic"/>
        </w:rPr>
        <w:t xml:space="preserve">en caso de que concurran dos o más categorías, es aplicable </w:t>
      </w:r>
      <w:r w:rsidRPr="00AF483D">
        <w:rPr>
          <w:rFonts w:ascii="Century Gothic" w:eastAsia="Century Gothic" w:hAnsi="Century Gothic" w:cs="Century Gothic"/>
        </w:rPr>
        <w:t xml:space="preserve">el </w:t>
      </w:r>
      <w:r w:rsidRPr="00AF483D">
        <w:rPr>
          <w:rFonts w:ascii="Century Gothic" w:eastAsia="Century Gothic" w:hAnsi="Century Gothic" w:cs="Century Gothic"/>
          <w:b/>
          <w:bCs/>
        </w:rPr>
        <w:t>principio de interseccionalidad</w:t>
      </w:r>
      <w:r w:rsidRPr="00AF483D">
        <w:rPr>
          <w:rFonts w:ascii="Century Gothic" w:eastAsia="Century Gothic" w:hAnsi="Century Gothic" w:cs="Century Gothic"/>
        </w:rPr>
        <w:t xml:space="preserve">, conforme a la jurisprudencia obligatoria de la Primera Sala de la </w:t>
      </w:r>
      <w:r>
        <w:rPr>
          <w:rFonts w:ascii="Century Gothic" w:eastAsia="Century Gothic" w:hAnsi="Century Gothic" w:cs="Century Gothic"/>
        </w:rPr>
        <w:t>SCJN</w:t>
      </w:r>
      <w:r w:rsidRPr="00AF483D">
        <w:rPr>
          <w:rFonts w:ascii="Century Gothic" w:eastAsia="Century Gothic" w:hAnsi="Century Gothic" w:cs="Century Gothic"/>
        </w:rPr>
        <w:t xml:space="preserve"> (Tesis 1a./J. 98/2024 (11a.), Registro digital: 2028891</w:t>
      </w:r>
      <w:r>
        <w:rPr>
          <w:rStyle w:val="Refdenotaalpie"/>
          <w:rFonts w:ascii="Century Gothic" w:eastAsia="Century Gothic" w:hAnsi="Century Gothic" w:cs="Century Gothic"/>
        </w:rPr>
        <w:footnoteReference w:id="164"/>
      </w:r>
      <w:r w:rsidRPr="00AF483D">
        <w:rPr>
          <w:rFonts w:ascii="Century Gothic" w:eastAsia="Century Gothic" w:hAnsi="Century Gothic" w:cs="Century Gothic"/>
        </w:rPr>
        <w:t xml:space="preserve">; y Tesis 1a./J. 176/2025 (11a.), Registro digital: </w:t>
      </w:r>
      <w:r w:rsidRPr="00AF483D">
        <w:rPr>
          <w:rFonts w:ascii="Century Gothic" w:eastAsia="Century Gothic" w:hAnsi="Century Gothic" w:cs="Century Gothic"/>
        </w:rPr>
        <w:lastRenderedPageBreak/>
        <w:t>2031098</w:t>
      </w:r>
      <w:r>
        <w:rPr>
          <w:rStyle w:val="Refdenotaalpie"/>
          <w:rFonts w:ascii="Century Gothic" w:eastAsia="Century Gothic" w:hAnsi="Century Gothic" w:cs="Century Gothic"/>
        </w:rPr>
        <w:footnoteReference w:id="165"/>
      </w:r>
      <w:r w:rsidRPr="00AF483D">
        <w:rPr>
          <w:rFonts w:ascii="Century Gothic" w:eastAsia="Century Gothic" w:hAnsi="Century Gothic" w:cs="Century Gothic"/>
        </w:rPr>
        <w:t>)</w:t>
      </w:r>
      <w:r>
        <w:rPr>
          <w:rFonts w:ascii="Century Gothic" w:eastAsia="Century Gothic" w:hAnsi="Century Gothic" w:cs="Century Gothic"/>
        </w:rPr>
        <w:t>, que</w:t>
      </w:r>
      <w:r w:rsidRPr="00AF483D">
        <w:rPr>
          <w:rFonts w:ascii="Century Gothic" w:eastAsia="Century Gothic" w:hAnsi="Century Gothic" w:cs="Century Gothic"/>
        </w:rPr>
        <w:t xml:space="preserve"> obliga a analizar los múltiples factores de vulnerabilidad que convergen en la persona quejosa (edad, discapacidad, género, origen </w:t>
      </w:r>
      <w:r w:rsidRPr="00AF483D">
        <w:rPr>
          <w:rFonts w:ascii="Century Gothic" w:eastAsia="Century Gothic" w:hAnsi="Century Gothic" w:cs="Century Gothic"/>
        </w:rPr>
        <w:lastRenderedPageBreak/>
        <w:t>indígena, condición económica, entre otros), sin que estas intersecciones puedan servir de argumento para desaplicar los estándares en materia de derechos humanos.</w:t>
      </w:r>
    </w:p>
    <w:p w14:paraId="75FA2559" w14:textId="02A1E9D9" w:rsidR="004352FB" w:rsidRPr="00AF483D" w:rsidRDefault="004352FB" w:rsidP="004352FB">
      <w:pPr>
        <w:spacing w:line="360" w:lineRule="auto"/>
        <w:ind w:firstLine="1418"/>
        <w:jc w:val="both"/>
        <w:rPr>
          <w:rFonts w:ascii="Century Gothic" w:eastAsia="Century Gothic" w:hAnsi="Century Gothic" w:cs="Century Gothic"/>
        </w:rPr>
      </w:pPr>
      <w:r w:rsidRPr="00AF483D">
        <w:rPr>
          <w:rFonts w:ascii="Century Gothic" w:eastAsia="Century Gothic" w:hAnsi="Century Gothic" w:cs="Century Gothic"/>
        </w:rPr>
        <w:t xml:space="preserve">En el caso concreto, al ser la parte quejosa </w:t>
      </w:r>
      <w:r>
        <w:rPr>
          <w:rFonts w:ascii="Century Gothic" w:eastAsia="Century Gothic" w:hAnsi="Century Gothic" w:cs="Century Gothic"/>
        </w:rPr>
        <w:t>{{CONDICION}}</w:t>
      </w:r>
      <w:r w:rsidRPr="00AF483D">
        <w:rPr>
          <w:rFonts w:ascii="Century Gothic" w:eastAsia="Century Gothic" w:hAnsi="Century Gothic" w:cs="Century Gothic"/>
        </w:rPr>
        <w:t xml:space="preserve"> y reclamarse un sistema normativo </w:t>
      </w:r>
      <w:r>
        <w:rPr>
          <w:rFonts w:ascii="Century Gothic" w:eastAsia="Century Gothic" w:hAnsi="Century Gothic" w:cs="Century Gothic"/>
        </w:rPr>
        <w:t xml:space="preserve">análogo al </w:t>
      </w:r>
      <w:r w:rsidRPr="00AF483D">
        <w:rPr>
          <w:rFonts w:ascii="Century Gothic" w:eastAsia="Century Gothic" w:hAnsi="Century Gothic" w:cs="Century Gothic"/>
        </w:rPr>
        <w:t>que ya fue declarado inconstitucional en su núcleo esencial por el Pleno de la SCJN (recolección coactiva de biometría e identidad para acceder a servicios de telefonía móvil – Caso PANAUT), este órgano jurisdiccional debe:</w:t>
      </w:r>
    </w:p>
    <w:p w14:paraId="1877BA20" w14:textId="77777777" w:rsidR="004352FB" w:rsidRPr="00AF483D" w:rsidRDefault="004352FB" w:rsidP="004352FB">
      <w:pPr>
        <w:numPr>
          <w:ilvl w:val="0"/>
          <w:numId w:val="12"/>
        </w:numPr>
        <w:tabs>
          <w:tab w:val="clear" w:pos="720"/>
          <w:tab w:val="num" w:pos="1843"/>
        </w:tabs>
        <w:spacing w:line="360" w:lineRule="auto"/>
        <w:ind w:left="0" w:firstLine="1418"/>
        <w:jc w:val="both"/>
        <w:rPr>
          <w:rFonts w:ascii="Century Gothic" w:eastAsia="Century Gothic" w:hAnsi="Century Gothic" w:cs="Century Gothic"/>
        </w:rPr>
      </w:pPr>
      <w:r w:rsidRPr="00AF483D">
        <w:rPr>
          <w:rFonts w:ascii="Century Gothic" w:eastAsia="Century Gothic" w:hAnsi="Century Gothic" w:cs="Century Gothic"/>
        </w:rPr>
        <w:t>Suplir cualquier deficiencia en los conceptos de violación.</w:t>
      </w:r>
    </w:p>
    <w:p w14:paraId="442C1B97" w14:textId="77777777" w:rsidR="004352FB" w:rsidRPr="00AF483D" w:rsidRDefault="004352FB" w:rsidP="004352FB">
      <w:pPr>
        <w:numPr>
          <w:ilvl w:val="0"/>
          <w:numId w:val="12"/>
        </w:numPr>
        <w:tabs>
          <w:tab w:val="clear" w:pos="720"/>
          <w:tab w:val="num" w:pos="1843"/>
        </w:tabs>
        <w:spacing w:line="360" w:lineRule="auto"/>
        <w:ind w:left="0" w:firstLine="1418"/>
        <w:jc w:val="both"/>
        <w:rPr>
          <w:rFonts w:ascii="Century Gothic" w:eastAsia="Century Gothic" w:hAnsi="Century Gothic" w:cs="Century Gothic"/>
        </w:rPr>
      </w:pPr>
      <w:r w:rsidRPr="00AF483D">
        <w:rPr>
          <w:rFonts w:ascii="Century Gothic" w:eastAsia="Century Gothic" w:hAnsi="Century Gothic" w:cs="Century Gothic"/>
        </w:rPr>
        <w:t>Examinar de oficio todas las posibles violaciones a derechos humanos, aun cuando no se hubieren hecho valer expresamente.</w:t>
      </w:r>
    </w:p>
    <w:p w14:paraId="6B2B5202" w14:textId="77777777" w:rsidR="004352FB" w:rsidRPr="00AF483D" w:rsidRDefault="004352FB" w:rsidP="004352FB">
      <w:pPr>
        <w:numPr>
          <w:ilvl w:val="0"/>
          <w:numId w:val="12"/>
        </w:numPr>
        <w:tabs>
          <w:tab w:val="clear" w:pos="720"/>
          <w:tab w:val="num" w:pos="1843"/>
        </w:tabs>
        <w:spacing w:line="360" w:lineRule="auto"/>
        <w:ind w:left="0" w:firstLine="1418"/>
        <w:jc w:val="both"/>
        <w:rPr>
          <w:rFonts w:ascii="Century Gothic" w:eastAsia="Century Gothic" w:hAnsi="Century Gothic" w:cs="Century Gothic"/>
        </w:rPr>
      </w:pPr>
      <w:r w:rsidRPr="00AF483D">
        <w:rPr>
          <w:rFonts w:ascii="Century Gothic" w:eastAsia="Century Gothic" w:hAnsi="Century Gothic" w:cs="Century Gothic"/>
        </w:rPr>
        <w:t>Aplicar el escrutinio estricto y el principio pro persona de la forma más favorable a la persona quejosa, considerando la interseccionalidad de sus factores de vulnerabilidad.</w:t>
      </w:r>
    </w:p>
    <w:p w14:paraId="77F614FA" w14:textId="77777777" w:rsidR="004352FB" w:rsidRPr="00AF483D" w:rsidRDefault="004352FB" w:rsidP="004352FB">
      <w:pPr>
        <w:numPr>
          <w:ilvl w:val="0"/>
          <w:numId w:val="12"/>
        </w:numPr>
        <w:tabs>
          <w:tab w:val="clear" w:pos="720"/>
          <w:tab w:val="num" w:pos="1843"/>
        </w:tabs>
        <w:spacing w:line="360" w:lineRule="auto"/>
        <w:ind w:left="0" w:firstLine="1418"/>
        <w:jc w:val="both"/>
        <w:rPr>
          <w:rFonts w:ascii="Century Gothic" w:eastAsia="Century Gothic" w:hAnsi="Century Gothic" w:cs="Century Gothic"/>
        </w:rPr>
      </w:pPr>
      <w:r w:rsidRPr="00AF483D">
        <w:rPr>
          <w:rFonts w:ascii="Century Gothic" w:eastAsia="Century Gothic" w:hAnsi="Century Gothic" w:cs="Century Gothic"/>
        </w:rPr>
        <w:t>Conceder el amparo no solo por las violaciones expuestas, sino por cualquier otra que se desprenda de los autos o del análisis oficioso de las normas reclamadas.</w:t>
      </w:r>
    </w:p>
    <w:p w14:paraId="368FBD92" w14:textId="15903441" w:rsidR="004352FB" w:rsidRPr="00AF483D" w:rsidRDefault="004352FB" w:rsidP="004352FB">
      <w:pPr>
        <w:spacing w:line="360" w:lineRule="auto"/>
        <w:ind w:firstLine="1418"/>
        <w:jc w:val="both"/>
        <w:rPr>
          <w:rFonts w:ascii="Century Gothic" w:eastAsia="Century Gothic" w:hAnsi="Century Gothic" w:cs="Century Gothic"/>
        </w:rPr>
      </w:pPr>
      <w:r w:rsidRPr="00AF483D">
        <w:rPr>
          <w:rFonts w:ascii="Century Gothic" w:eastAsia="Century Gothic" w:hAnsi="Century Gothic" w:cs="Century Gothic"/>
        </w:rPr>
        <w:t>La omisión de suplir la queja en estos supuestos constituye una violación al derecho de acceso a la justicia y al debido proceso, por lo que se solicita expresamente que este H. Juzgado ejerza de manera plena y oficiosa la facultad de suplencia de la queja deficiente, ordenando la inaplicación de las normas combatidas y el restablecimiento inmediato del servicio de telefonía móvil de la parte quejosa, sin exigirle la entrega de datos personales sensibles ni la denominada “Prueba de Vida”.</w:t>
      </w:r>
      <w:r w:rsidR="00F1097C">
        <w:rPr>
          <w:rFonts w:ascii="Century Gothic" w:eastAsia="Century Gothic" w:hAnsi="Century Gothic" w:cs="Century Gothic"/>
        </w:rPr>
        <w:t xml:space="preserve"> </w:t>
      </w:r>
      <w:r w:rsidR="00F1097C" w:rsidRPr="00F1097C">
        <w:rPr>
          <w:rFonts w:ascii="Century Gothic" w:eastAsia="Century Gothic" w:hAnsi="Century Gothic" w:cs="Century Gothic"/>
        </w:rPr>
        <w:t>{{TERMINA_SUPLENCIA}}</w:t>
      </w:r>
    </w:p>
    <w:p w14:paraId="43756233" w14:textId="77777777" w:rsidR="004352FB" w:rsidRDefault="004352FB">
      <w:pPr>
        <w:spacing w:line="360" w:lineRule="auto"/>
        <w:jc w:val="center"/>
        <w:rPr>
          <w:rFonts w:ascii="Century Gothic" w:eastAsia="Century Gothic" w:hAnsi="Century Gothic" w:cs="Century Gothic"/>
          <w:b/>
          <w:bCs/>
        </w:rPr>
      </w:pPr>
    </w:p>
    <w:p w14:paraId="0F4D01A5" w14:textId="5F907214" w:rsidR="00001DF2" w:rsidRPr="00A555A1" w:rsidRDefault="00000000">
      <w:pPr>
        <w:spacing w:line="360" w:lineRule="auto"/>
        <w:jc w:val="center"/>
        <w:rPr>
          <w:rFonts w:ascii="Century Gothic" w:eastAsia="Century Gothic" w:hAnsi="Century Gothic" w:cs="Century Gothic"/>
        </w:rPr>
      </w:pPr>
      <w:r w:rsidRPr="00A555A1">
        <w:rPr>
          <w:rFonts w:ascii="Century Gothic" w:eastAsia="Century Gothic" w:hAnsi="Century Gothic" w:cs="Century Gothic"/>
          <w:b/>
          <w:bCs/>
        </w:rPr>
        <w:t>SUSPENSIÓN DEL ACTO RECLAMADO:</w:t>
      </w:r>
    </w:p>
    <w:p w14:paraId="1844C985" w14:textId="77777777" w:rsidR="00001DF2" w:rsidRPr="00A555A1" w:rsidRDefault="00000000">
      <w:pPr>
        <w:spacing w:line="360" w:lineRule="auto"/>
        <w:jc w:val="both"/>
        <w:rPr>
          <w:rFonts w:ascii="Century Gothic" w:eastAsia="Century Gothic" w:hAnsi="Century Gothic" w:cs="Century Gothic"/>
        </w:rPr>
      </w:pPr>
      <w:r w:rsidRPr="00A555A1">
        <w:rPr>
          <w:rFonts w:ascii="Century Gothic" w:eastAsia="Century Gothic" w:hAnsi="Century Gothic" w:cs="Century Gothic"/>
        </w:rPr>
        <w:t xml:space="preserve">Con fundamento en los artículos 107, fracción X de la Constitución Política de los Estados Unidos Mexicanos; así como los artículos 125, 128, 131, 138, 139, 147, 148 y demás relativos de la Ley de Amparo, solicito expresamente se decrete </w:t>
      </w:r>
      <w:r w:rsidRPr="00A555A1">
        <w:rPr>
          <w:rFonts w:ascii="Century Gothic" w:eastAsia="Century Gothic" w:hAnsi="Century Gothic" w:cs="Century Gothic"/>
        </w:rPr>
        <w:lastRenderedPageBreak/>
        <w:t xml:space="preserve">la </w:t>
      </w:r>
      <w:r w:rsidRPr="00A555A1">
        <w:rPr>
          <w:rFonts w:ascii="Century Gothic" w:eastAsia="Century Gothic" w:hAnsi="Century Gothic" w:cs="Century Gothic"/>
          <w:b/>
          <w:bCs/>
        </w:rPr>
        <w:t>SUSPENSIÓN PROVISIONAL</w:t>
      </w:r>
      <w:r w:rsidRPr="00A555A1">
        <w:rPr>
          <w:rFonts w:ascii="Century Gothic" w:eastAsia="Century Gothic" w:hAnsi="Century Gothic" w:cs="Century Gothic"/>
        </w:rPr>
        <w:t xml:space="preserve"> y, en su momento, la </w:t>
      </w:r>
      <w:r w:rsidRPr="00A555A1">
        <w:rPr>
          <w:rFonts w:ascii="Century Gothic" w:eastAsia="Century Gothic" w:hAnsi="Century Gothic" w:cs="Century Gothic"/>
          <w:b/>
          <w:bCs/>
        </w:rPr>
        <w:t>DEFINITIVA</w:t>
      </w:r>
      <w:r w:rsidRPr="00A555A1">
        <w:rPr>
          <w:rFonts w:ascii="Century Gothic" w:eastAsia="Century Gothic" w:hAnsi="Century Gothic" w:cs="Century Gothic"/>
        </w:rPr>
        <w:t xml:space="preserve"> del acto reclamado, con </w:t>
      </w:r>
      <w:r w:rsidRPr="00A555A1">
        <w:rPr>
          <w:rFonts w:ascii="Century Gothic" w:eastAsia="Century Gothic" w:hAnsi="Century Gothic" w:cs="Century Gothic"/>
          <w:b/>
          <w:bCs/>
        </w:rPr>
        <w:t>efectos restitutorios anticipados</w:t>
      </w:r>
      <w:r w:rsidRPr="00A555A1">
        <w:rPr>
          <w:rFonts w:ascii="Century Gothic" w:eastAsia="Century Gothic" w:hAnsi="Century Gothic" w:cs="Century Gothic"/>
        </w:rPr>
        <w:t>.</w:t>
      </w:r>
    </w:p>
    <w:p w14:paraId="21F3BE19" w14:textId="4D0BE4B2"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La medida cautelar se solicita para el efecto preciso de que la concesionaria responsable </w:t>
      </w:r>
      <w:r w:rsidRPr="00DE3BA9">
        <w:rPr>
          <w:rFonts w:ascii="Century Gothic" w:eastAsia="Century Gothic" w:hAnsi="Century Gothic" w:cs="Century Gothic"/>
        </w:rPr>
        <w:t>cesen de inmediato el bloqueo, suspensión</w:t>
      </w:r>
      <w:r w:rsidR="00067F91">
        <w:rPr>
          <w:rFonts w:ascii="Century Gothic" w:eastAsia="Century Gothic" w:hAnsi="Century Gothic" w:cs="Century Gothic"/>
        </w:rPr>
        <w:t>, inhabilitación</w:t>
      </w:r>
      <w:r w:rsidRPr="00DE3BA9">
        <w:rPr>
          <w:rFonts w:ascii="Century Gothic" w:eastAsia="Century Gothic" w:hAnsi="Century Gothic" w:cs="Century Gothic"/>
        </w:rPr>
        <w:t xml:space="preserve"> o "desvinculación" de la línea telefónica móvil número </w:t>
      </w:r>
      <w:r w:rsidRPr="00435366">
        <w:rPr>
          <w:rFonts w:ascii="Century Gothic" w:eastAsia="Century Gothic" w:hAnsi="Century Gothic" w:cs="Century Gothic"/>
          <w:b/>
          <w:bCs/>
        </w:rPr>
        <w:t>{{NUMERO_TELEFONO}}</w:t>
      </w:r>
      <w:r w:rsidRPr="00435366">
        <w:rPr>
          <w:rFonts w:ascii="Century Gothic" w:eastAsia="Century Gothic" w:hAnsi="Century Gothic" w:cs="Century Gothic"/>
        </w:rPr>
        <w:t>,</w:t>
      </w:r>
      <w:r w:rsidRPr="00DE3BA9">
        <w:rPr>
          <w:rFonts w:ascii="Century Gothic" w:eastAsia="Century Gothic" w:hAnsi="Century Gothic" w:cs="Century Gothic"/>
        </w:rPr>
        <w:t xml:space="preserve"> restableciendo el servicio de telecomunicaciones e internet en su totalidad, y se abstengan de exigir a la parte quejosa la entrega de datos personales, identificación oficial y biometría ("Prueba de vida"),</w:t>
      </w:r>
      <w:r w:rsidRPr="00A555A1">
        <w:rPr>
          <w:rFonts w:ascii="Century Gothic" w:eastAsia="Century Gothic" w:hAnsi="Century Gothic" w:cs="Century Gothic"/>
        </w:rPr>
        <w:t xml:space="preserve"> hasta en tanto se resuelva el fondo del presente juicio de amparo.</w:t>
      </w:r>
    </w:p>
    <w:p w14:paraId="1ED08333"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La procedencia de la suspensión resulta inobjetable al reunirse a cabalidad los requisitos del artículo 128 de la Ley de Amparo:</w:t>
      </w:r>
    </w:p>
    <w:p w14:paraId="40460542" w14:textId="77777777" w:rsidR="00001DF2" w:rsidRPr="002757CB"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b/>
          <w:bCs/>
        </w:rPr>
        <w:t>I. Solicitud expresa</w:t>
      </w:r>
      <w:r w:rsidRPr="002757CB">
        <w:rPr>
          <w:rFonts w:ascii="Century Gothic" w:eastAsia="Century Gothic" w:hAnsi="Century Gothic" w:cs="Century Gothic"/>
        </w:rPr>
        <w:t>.-</w:t>
      </w:r>
      <w:r w:rsidRPr="00A555A1">
        <w:rPr>
          <w:rFonts w:ascii="Century Gothic" w:eastAsia="Century Gothic" w:hAnsi="Century Gothic" w:cs="Century Gothic"/>
        </w:rPr>
        <w:t xml:space="preserve"> </w:t>
      </w:r>
      <w:r w:rsidRPr="002757CB">
        <w:rPr>
          <w:rFonts w:ascii="Century Gothic" w:eastAsia="Century Gothic" w:hAnsi="Century Gothic" w:cs="Century Gothic"/>
        </w:rPr>
        <w:t>Como consta en el presente apartado, la medida suspensional es solicitada por la parte quejosa.</w:t>
      </w:r>
    </w:p>
    <w:p w14:paraId="594484A0" w14:textId="48F23973" w:rsidR="00001DF2" w:rsidRPr="002757CB" w:rsidRDefault="00000000">
      <w:pPr>
        <w:spacing w:line="360" w:lineRule="auto"/>
        <w:ind w:firstLine="1418"/>
        <w:jc w:val="both"/>
        <w:rPr>
          <w:rFonts w:ascii="Century Gothic" w:eastAsia="Century Gothic" w:hAnsi="Century Gothic" w:cs="Century Gothic"/>
        </w:rPr>
      </w:pPr>
      <w:r w:rsidRPr="002757CB">
        <w:rPr>
          <w:rFonts w:ascii="Century Gothic" w:eastAsia="Century Gothic" w:hAnsi="Century Gothic" w:cs="Century Gothic"/>
          <w:b/>
          <w:bCs/>
        </w:rPr>
        <w:t>II. Interés suspensional</w:t>
      </w:r>
      <w:r w:rsidRPr="004C3173">
        <w:rPr>
          <w:rFonts w:ascii="Century Gothic" w:eastAsia="Century Gothic" w:hAnsi="Century Gothic" w:cs="Century Gothic"/>
        </w:rPr>
        <w:t xml:space="preserve">.- </w:t>
      </w:r>
      <w:r w:rsidRPr="002757CB">
        <w:rPr>
          <w:rFonts w:ascii="Century Gothic" w:eastAsia="Century Gothic" w:hAnsi="Century Gothic" w:cs="Century Gothic"/>
        </w:rPr>
        <w:t>Se acredita de manera indiciaria con las pruebas documentales que se adjuntan</w:t>
      </w:r>
      <w:r w:rsidR="00DE0684" w:rsidRPr="002757CB">
        <w:rPr>
          <w:rFonts w:ascii="Century Gothic" w:eastAsia="Century Gothic" w:hAnsi="Century Gothic" w:cs="Century Gothic"/>
        </w:rPr>
        <w:t xml:space="preserve"> y</w:t>
      </w:r>
      <w:r w:rsidRPr="002757CB">
        <w:rPr>
          <w:rFonts w:ascii="Century Gothic" w:eastAsia="Century Gothic" w:hAnsi="Century Gothic" w:cs="Century Gothic"/>
        </w:rPr>
        <w:t xml:space="preserve"> la titularidad de la línea telefónica</w:t>
      </w:r>
      <w:r w:rsidR="00DE0684" w:rsidRPr="002757CB">
        <w:rPr>
          <w:rFonts w:ascii="Century Gothic" w:eastAsia="Century Gothic" w:hAnsi="Century Gothic" w:cs="Century Gothic"/>
        </w:rPr>
        <w:t>.</w:t>
      </w:r>
      <w:r w:rsidR="00F1097C" w:rsidRPr="002757CB">
        <w:rPr>
          <w:rFonts w:ascii="Century Gothic" w:eastAsia="Century Gothic" w:hAnsi="Century Gothic" w:cs="Century Gothic"/>
        </w:rPr>
        <w:t xml:space="preserve"> </w:t>
      </w:r>
      <w:r w:rsidR="00DE0684" w:rsidRPr="002757CB">
        <w:rPr>
          <w:rFonts w:ascii="Century Gothic" w:eastAsia="Century Gothic" w:hAnsi="Century Gothic" w:cs="Century Gothic"/>
        </w:rPr>
        <w:t>{{INICIA_RELACION_CONCEPTO_SEXTO}} Así como</w:t>
      </w:r>
      <w:r w:rsidRPr="002757CB">
        <w:rPr>
          <w:rFonts w:ascii="Century Gothic" w:eastAsia="Century Gothic" w:hAnsi="Century Gothic" w:cs="Century Gothic"/>
        </w:rPr>
        <w:t xml:space="preserve"> su indisoluble vinculación con mi acceso a la banca móvil del </w:t>
      </w:r>
      <w:r w:rsidR="009D4BE9">
        <w:rPr>
          <w:rFonts w:ascii="Century Gothic" w:eastAsia="Century Gothic" w:hAnsi="Century Gothic" w:cs="Century Gothic"/>
        </w:rPr>
        <w:t xml:space="preserve">banco </w:t>
      </w:r>
      <w:r w:rsidRPr="00435366">
        <w:rPr>
          <w:rFonts w:ascii="Century Gothic" w:eastAsia="Century Gothic" w:hAnsi="Century Gothic" w:cs="Century Gothic"/>
          <w:b/>
          <w:bCs/>
        </w:rPr>
        <w:t>{{BANCO}}</w:t>
      </w:r>
      <w:r w:rsidRPr="002757CB">
        <w:rPr>
          <w:rFonts w:ascii="Century Gothic" w:eastAsia="Century Gothic" w:hAnsi="Century Gothic" w:cs="Century Gothic"/>
        </w:rPr>
        <w:t>.</w:t>
      </w:r>
      <w:r w:rsidR="00DE0684" w:rsidRPr="002757CB">
        <w:rPr>
          <w:rFonts w:ascii="Century Gothic" w:eastAsia="Century Gothic" w:hAnsi="Century Gothic" w:cs="Century Gothic"/>
        </w:rPr>
        <w:t xml:space="preserve"> {{TERMINA_RELACION_CONCEPTO_SEXTO}}</w:t>
      </w:r>
    </w:p>
    <w:p w14:paraId="3F8F7E2B" w14:textId="36A69E5F" w:rsidR="00DE0684" w:rsidRPr="004C3173" w:rsidRDefault="00000000" w:rsidP="00DE0684">
      <w:pPr>
        <w:spacing w:line="360" w:lineRule="auto"/>
        <w:ind w:firstLine="1418"/>
        <w:jc w:val="both"/>
        <w:rPr>
          <w:rFonts w:ascii="Century Gothic" w:eastAsia="Century Gothic" w:hAnsi="Century Gothic" w:cs="Century Gothic"/>
        </w:rPr>
      </w:pPr>
      <w:r w:rsidRPr="002757CB">
        <w:rPr>
          <w:rFonts w:ascii="Century Gothic" w:eastAsia="Century Gothic" w:hAnsi="Century Gothic" w:cs="Century Gothic"/>
          <w:b/>
          <w:bCs/>
        </w:rPr>
        <w:t>III. Peligro en la demora</w:t>
      </w:r>
      <w:r w:rsidRPr="004C3173">
        <w:rPr>
          <w:rFonts w:ascii="Century Gothic" w:eastAsia="Century Gothic" w:hAnsi="Century Gothic" w:cs="Century Gothic"/>
        </w:rPr>
        <w:t xml:space="preserve">.- El peligro en la demora se materializa en la anulación en cascada del "ecosistema de libertades" y derechos humanos detallados en los conceptos de violación. Cada minuto que la línea permanece suspendida, el Estado y la concesionaria concretan una censura previa y una barrera infranqueable al acceso a las TIC, desterrando a la persona quejosa de la plaza pública digital e impidiendo su libertad de expresión. </w:t>
      </w:r>
      <w:r w:rsidR="00DE0684" w:rsidRPr="004C3173">
        <w:rPr>
          <w:rFonts w:ascii="Century Gothic" w:eastAsia="Century Gothic" w:hAnsi="Century Gothic" w:cs="Century Gothic"/>
        </w:rPr>
        <w:t xml:space="preserve">{{INICIA_RELACION_CONCEPTO_SEXTO}} </w:t>
      </w:r>
      <w:r w:rsidRPr="004C3173">
        <w:rPr>
          <w:rFonts w:ascii="Century Gothic" w:eastAsia="Century Gothic" w:hAnsi="Century Gothic" w:cs="Century Gothic"/>
        </w:rPr>
        <w:t>A la par, el corte coactivo bloquea el acceso al dispositivo token y a la banca móvil, vulnerando el derecho a la inclusión financiera y secuestrando de facto los recursos patrimoniales de la suscrita persona quejosa, necesarios para mi subsistencia diaria y mi libre desarrollo de la personalidad.</w:t>
      </w:r>
      <w:r w:rsidR="00DE0684" w:rsidRPr="004C3173">
        <w:rPr>
          <w:rFonts w:ascii="Century Gothic" w:eastAsia="Century Gothic" w:hAnsi="Century Gothic" w:cs="Century Gothic"/>
        </w:rPr>
        <w:t xml:space="preserve"> {{TERMINA_RELACION_CONCEPTO_SEXTO}}</w:t>
      </w:r>
    </w:p>
    <w:p w14:paraId="179FBAD8"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Ante este escenario, resulta plenamente aplicable por analogía jurídica el criterio orientador emitido por el Vigésimo Tribunal Colegiado en Materia Administrativa del Primer Circuito, en la tesis aislada I.20o.A.18 A (12a.), de rubro </w:t>
      </w:r>
      <w:r w:rsidRPr="00A555A1">
        <w:rPr>
          <w:rFonts w:ascii="Century Gothic" w:eastAsia="Century Gothic" w:hAnsi="Century Gothic" w:cs="Century Gothic"/>
          <w:b/>
          <w:bCs/>
          <w:i/>
          <w:iCs/>
        </w:rPr>
        <w:t xml:space="preserve">SUSPENSIÓN PROVISIONAL EN AMPARO INDIRECTO. CUANDO SE RECLAMA EL CORTE O SUSPENSIÓN DEL SUMINISTRO DE ENERGÍA ELÉCTRICA </w:t>
      </w:r>
      <w:r w:rsidRPr="00A555A1">
        <w:rPr>
          <w:rFonts w:ascii="Century Gothic" w:eastAsia="Century Gothic" w:hAnsi="Century Gothic" w:cs="Century Gothic"/>
          <w:b/>
          <w:bCs/>
          <w:i/>
          <w:iCs/>
        </w:rPr>
        <w:lastRenderedPageBreak/>
        <w:t>SU CONCESIÓN SE JUSTIFICA PORQUE CONSTITUYE UN ACTO CAPAZ DE GENERAR DAÑOS DE IMPOSIBLE REPARACIÓN DE MAYOR ENTIDAD A CUALQUIER AFECTACIÓN A LA COLECTIVIDAD (ARTÍCULO 128, FRACCIÓN III, DE LA LEY DE AMPARO</w:t>
      </w:r>
      <w:r w:rsidRPr="00A555A1">
        <w:rPr>
          <w:rFonts w:ascii="Century Gothic" w:eastAsia="Century Gothic" w:hAnsi="Century Gothic" w:cs="Century Gothic"/>
        </w:rPr>
        <w:t>).</w:t>
      </w:r>
    </w:p>
    <w:p w14:paraId="65CFB21B"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Al igual que la energía eléctrica, en la era contemporánea las TIC son un servicio público de interés general (artículo 6º de la CPEUM) cuya interrupción paraliza la vida civil, económica y social del individuo, por lo que exigir la entrega de datos personales y datos personales sensibles (biometría y prueba de vida) a cambio de devolver esta "llave" de acceso vital genera un perjuicio de imposible reparación que debe ser frenado inmediatamente.</w:t>
      </w:r>
    </w:p>
    <w:p w14:paraId="256277A2" w14:textId="64E20BA2" w:rsidR="00A403DE" w:rsidRPr="00A555A1" w:rsidRDefault="00A403DE" w:rsidP="00A403DE">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La inminencia y gravedad de este daño irreparable se potencializa al advertir los riesgos inherentes a la extracción de datos biométricos, sirviendo de criterio orientador lo resuelto recientemente por el Vigésimo Tribunal Colegiado en Materia Administrativa del Primer Circuito en el recurso de queja </w:t>
      </w:r>
      <w:r w:rsidRPr="00A555A1">
        <w:rPr>
          <w:rFonts w:ascii="Century Gothic" w:eastAsia="Century Gothic" w:hAnsi="Century Gothic" w:cs="Century Gothic"/>
          <w:b/>
          <w:bCs/>
        </w:rPr>
        <w:t>Q.A.I.B. 57/2026</w:t>
      </w:r>
      <w:r w:rsidRPr="00A555A1">
        <w:rPr>
          <w:rStyle w:val="Refdenotaalpie"/>
          <w:rFonts w:ascii="Century Gothic" w:eastAsia="Century Gothic" w:hAnsi="Century Gothic" w:cs="Century Gothic"/>
        </w:rPr>
        <w:footnoteReference w:id="166"/>
      </w:r>
      <w:r w:rsidRPr="00A555A1">
        <w:rPr>
          <w:rFonts w:ascii="Century Gothic" w:eastAsia="Century Gothic" w:hAnsi="Century Gothic" w:cs="Century Gothic"/>
        </w:rPr>
        <w:t>. En dicho precedente, el Tribunal determinó que la sola exigencia coactiva de entregar datos biométricos (como el rostro o las huellas) genera una afectación inmediata que amerita la suspensión, pues ante su naturaleza única, virtualmente inmutable y altamente reidentificable, su tratamiento crea un escenario de incertidumbre y riesgo irreversible de filtración o compromiso permanente.</w:t>
      </w:r>
    </w:p>
    <w:p w14:paraId="24DA9E97" w14:textId="07F1FEB8" w:rsidR="0022327D" w:rsidRPr="00A555A1" w:rsidRDefault="00A403DE" w:rsidP="00A403DE">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Permitir que la concesionaria extraiga la biometría de la suscrita </w:t>
      </w:r>
      <w:r w:rsidR="0022327D" w:rsidRPr="00A555A1">
        <w:rPr>
          <w:rFonts w:ascii="Century Gothic" w:eastAsia="Century Gothic" w:hAnsi="Century Gothic" w:cs="Century Gothic"/>
        </w:rPr>
        <w:t xml:space="preserve">persona quejosa </w:t>
      </w:r>
      <w:r w:rsidRPr="00A555A1">
        <w:rPr>
          <w:rFonts w:ascii="Century Gothic" w:eastAsia="Century Gothic" w:hAnsi="Century Gothic" w:cs="Century Gothic"/>
        </w:rPr>
        <w:t xml:space="preserve">bajo la presión de mantener activa la línea telefónica, aniquila mi derecho humano emergente a la </w:t>
      </w:r>
      <w:r w:rsidR="00DE0684" w:rsidRPr="00A555A1">
        <w:rPr>
          <w:rFonts w:ascii="Century Gothic" w:eastAsia="Century Gothic" w:hAnsi="Century Gothic" w:cs="Century Gothic"/>
          <w:b/>
          <w:bCs/>
        </w:rPr>
        <w:t>soberanía digital personal</w:t>
      </w:r>
      <w:r w:rsidR="0022327D" w:rsidRPr="00A555A1">
        <w:rPr>
          <w:rFonts w:ascii="Century Gothic" w:eastAsia="Century Gothic" w:hAnsi="Century Gothic" w:cs="Century Gothic"/>
        </w:rPr>
        <w:t xml:space="preserve">, pues </w:t>
      </w:r>
      <w:r w:rsidRPr="00A555A1">
        <w:rPr>
          <w:rFonts w:ascii="Century Gothic" w:eastAsia="Century Gothic" w:hAnsi="Century Gothic" w:cs="Century Gothic"/>
        </w:rPr>
        <w:t xml:space="preserve">en el actual modelo económico de vigilancia, la recolección de biometría ligada a servicios de telecomunicaciones fomenta el perfilamiento detallado, </w:t>
      </w:r>
      <w:r w:rsidRPr="00A555A1">
        <w:rPr>
          <w:rFonts w:ascii="Century Gothic" w:eastAsia="Century Gothic" w:hAnsi="Century Gothic" w:cs="Century Gothic"/>
        </w:rPr>
        <w:lastRenderedPageBreak/>
        <w:t xml:space="preserve">erosiona el anonimato y posibilita un control social y seguimiento longitudinal masivo. </w:t>
      </w:r>
    </w:p>
    <w:p w14:paraId="4D945638" w14:textId="724FB4BA" w:rsidR="00A403DE" w:rsidRPr="00A555A1" w:rsidRDefault="00A403DE" w:rsidP="00A403DE">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Por lo tanto, el peligro en la demora es absoluto</w:t>
      </w:r>
      <w:r w:rsidR="0022327D" w:rsidRPr="00A555A1">
        <w:rPr>
          <w:rFonts w:ascii="Century Gothic" w:eastAsia="Century Gothic" w:hAnsi="Century Gothic" w:cs="Century Gothic"/>
        </w:rPr>
        <w:t xml:space="preserve">, ya que </w:t>
      </w:r>
      <w:r w:rsidRPr="00A555A1">
        <w:rPr>
          <w:rFonts w:ascii="Century Gothic" w:eastAsia="Century Gothic" w:hAnsi="Century Gothic" w:cs="Century Gothic"/>
        </w:rPr>
        <w:t>si no se otorga la tutela anticipada, el dato personal sensible será irreversiblemente asimilado por la red neuronal</w:t>
      </w:r>
      <w:r w:rsidR="0022327D" w:rsidRPr="00A555A1">
        <w:rPr>
          <w:rFonts w:ascii="Century Gothic" w:eastAsia="Century Gothic" w:hAnsi="Century Gothic" w:cs="Century Gothic"/>
        </w:rPr>
        <w:t xml:space="preserve"> de la concesionaria responsable</w:t>
      </w:r>
      <w:r w:rsidRPr="00A555A1">
        <w:rPr>
          <w:rFonts w:ascii="Century Gothic" w:eastAsia="Century Gothic" w:hAnsi="Century Gothic" w:cs="Century Gothic"/>
        </w:rPr>
        <w:t>, haciendo inútil cualquier concesión futura del amparo.</w:t>
      </w:r>
    </w:p>
    <w:p w14:paraId="6BF09424"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b/>
          <w:bCs/>
        </w:rPr>
        <w:t>III. No se sigue perjuicio al interés social ni al orden público.-</w:t>
      </w:r>
      <w:r w:rsidRPr="00A555A1">
        <w:rPr>
          <w:rFonts w:ascii="Century Gothic" w:eastAsia="Century Gothic" w:hAnsi="Century Gothic" w:cs="Century Gothic"/>
        </w:rPr>
        <w:t xml:space="preserve"> Conceder la suspensión para reactivar una línea telefónica individual mientras se dirime la constitucionalidad de las normas combatidas, de ninguna manera encuadra en las hipótesis prohibitivas del artículo 129 de la LAmp, pues la sociedad no pierde ningún beneficio ni se afecta la seguridad nacional por permitir que una ciudadana conserve su privacidad y su línea celular mientras un juez federal dicta sentencia. Por el contrario, el orden público es el primer interesado en que no se ejecuten injerencias arbitrarias ni se extorsionen los datos sensibles de la población; pues, como ya quedó evidenciado, la propia SSPC</w:t>
      </w:r>
      <w:r w:rsidRPr="00A555A1">
        <w:rPr>
          <w:rFonts w:ascii="Century Gothic" w:eastAsia="Century Gothic" w:hAnsi="Century Gothic" w:cs="Century Gothic"/>
          <w:vertAlign w:val="superscript"/>
        </w:rPr>
        <w:footnoteReference w:id="167"/>
      </w:r>
      <w:r w:rsidRPr="00A555A1">
        <w:rPr>
          <w:rFonts w:ascii="Century Gothic" w:eastAsia="Century Gothic" w:hAnsi="Century Gothic" w:cs="Century Gothic"/>
        </w:rPr>
        <w:t xml:space="preserve"> ha reportado resultados objetivos en el combate a la extorsión desde antes de que se materializara el acto coactivo que dio motivo a la presente demanda de amparo.</w:t>
      </w:r>
    </w:p>
    <w:p w14:paraId="7AE9BFC2" w14:textId="5C801822" w:rsidR="0022327D" w:rsidRPr="00A555A1" w:rsidRDefault="0022327D" w:rsidP="0022327D">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En idéntico sentido a lo resuelto en la citada queja 57/2026, la concesión de la medida cautelar no afecta el orden público, ya que no impide a las autoridades competentes ejercer sus atribuciones legales, ni paraliza los mecanismos de investigación o prevención de delitos como la extorsión, toda vez que el Estado conserva intactas herramientas menos restrictivas e igualmente idóneas, como la intervención de comunicaciones previo control judicial.</w:t>
      </w:r>
    </w:p>
    <w:p w14:paraId="6EACD3A4" w14:textId="3A9AE4BD" w:rsidR="0022327D" w:rsidRPr="00A555A1" w:rsidRDefault="0022327D" w:rsidP="0022327D">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Por el contrario, el mayor interés de la sociedad radica en evitar un sistema generalizado de vigilancia, ya que avalar normativas que recopilan datos personales sensibles para condicionar servicios de telecomunicaciones permite interferir y monitorear directamente la vida privada de las personas, en directa contravención a los principios que orientan el funcionamiento de una democracia constitucional contemporánea, como lo determinó el Pleno de la SCJN al resolver el caso PANAUT y como lo reafirmó el Colegiado de mérito al conceder la suspensión.</w:t>
      </w:r>
    </w:p>
    <w:p w14:paraId="07701D39"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b/>
          <w:bCs/>
        </w:rPr>
        <w:lastRenderedPageBreak/>
        <w:t>IV. Apariencia del buen derecho:</w:t>
      </w:r>
      <w:r w:rsidRPr="00A555A1">
        <w:rPr>
          <w:rFonts w:ascii="Century Gothic" w:eastAsia="Century Gothic" w:hAnsi="Century Gothic" w:cs="Century Gothic"/>
        </w:rPr>
        <w:t xml:space="preserve"> Del análisis preliminar de los argumentos vertidos en los conceptos de violación, resulta palmaria la inconstitucionalidad de los artículos 103, 164 y 183 de la LMTR y de los Lineamientos de la CRT. La presunción de inconstitucionalidad se encuentra robustecida por un precedente de observancia obligatoria dictado por el Pleno de la SCJN en el Caso PANAUT, el cual ya determinó que la recolección masiva de identidades y biometría para acceder a la telefonía es desproporcionada.</w:t>
      </w:r>
    </w:p>
    <w:p w14:paraId="44A8362B" w14:textId="392633EA" w:rsidR="002912B2" w:rsidRPr="00A555A1" w:rsidRDefault="002912B2" w:rsidP="002912B2">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Bajo este estándar, la apariencia del buen derecho favorece inobjetablemente a la suscrita persona quejosa, esto porque el criterio orientador (queja 57/2026), aplicando las consideraciones del Caso PANAUT a la extracción biométrica, ha establecido que las disposiciones que recaban información biológica y comportamental, entregándola a autoridades o sistemas centralizados bajo la amenaza de perder un derecho o servicio, constituyen una intromisión intensa y radicalmente desproporcionada a la privacidad, intimidad y autodeterminación informativa.</w:t>
      </w:r>
    </w:p>
    <w:p w14:paraId="3069C315" w14:textId="09A25A8C" w:rsidR="002912B2" w:rsidRPr="00A555A1" w:rsidRDefault="002912B2" w:rsidP="002912B2">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Al realizar la ponderación que exige el artículo 128 de la Ley de Amparo, el equilibrio óptimo indica que suspender coactivamente mi línea telefónica por defender mis datos biométricos es una afectación desproporcionada que me priva de un beneficio vital, frente a una medida gubernamental que carece de necesidad estricta.</w:t>
      </w:r>
    </w:p>
    <w:p w14:paraId="731DB5CC"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Es imperativo señalar que conceder la suspensión con efectos de </w:t>
      </w:r>
      <w:r w:rsidRPr="00A555A1">
        <w:rPr>
          <w:rFonts w:ascii="Century Gothic" w:eastAsia="Century Gothic" w:hAnsi="Century Gothic" w:cs="Century Gothic"/>
          <w:i/>
          <w:iCs/>
        </w:rPr>
        <w:t>reactivación inmediata</w:t>
      </w:r>
      <w:r w:rsidRPr="00A555A1">
        <w:rPr>
          <w:rFonts w:ascii="Century Gothic" w:eastAsia="Century Gothic" w:hAnsi="Century Gothic" w:cs="Century Gothic"/>
        </w:rPr>
        <w:t xml:space="preserve"> del servicio telefónico no deja sin materia el juicio principal. Al respecto, cobra aplicación obligatoria la jurisprudencia 2a./J. 22/2023 (11a.) emitida por la Segunda Sala de la SCJN, de rubro: </w:t>
      </w:r>
      <w:r w:rsidRPr="00A555A1">
        <w:rPr>
          <w:rFonts w:ascii="Century Gothic" w:eastAsia="Century Gothic" w:hAnsi="Century Gothic" w:cs="Century Gothic"/>
          <w:b/>
          <w:bCs/>
        </w:rPr>
        <w:t>SUSPENSIÓN DEL ACTO RECLAMADO CON EFECTOS RESTITUTORIOS. PARÁMETROS QUE DEBE TOMAR EN CUENTA EL JUZGADOR AL ANALIZAR LA POSIBILIDAD DE CONCEDERLA ANTE LA EVENTUALIDAD DE QUE, CON ELLO, SE DEJE SIN MATERIA EL JUICIO DE AMPARO EN LO PRINCIPAL.</w:t>
      </w:r>
    </w:p>
    <w:p w14:paraId="55D445C0" w14:textId="3A87F596"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La SCJN determinó que la finalidad de la suspensión es proporcionar las condiciones idóneas para proteger el derecho afectado. </w:t>
      </w:r>
      <w:r w:rsidR="002912B2" w:rsidRPr="00A555A1">
        <w:rPr>
          <w:rFonts w:ascii="Century Gothic" w:eastAsia="Century Gothic" w:hAnsi="Century Gothic" w:cs="Century Gothic"/>
        </w:rPr>
        <w:t>En ese sentido, l</w:t>
      </w:r>
      <w:r w:rsidRPr="00A555A1">
        <w:rPr>
          <w:rFonts w:ascii="Century Gothic" w:eastAsia="Century Gothic" w:hAnsi="Century Gothic" w:cs="Century Gothic"/>
        </w:rPr>
        <w:t>a reactivación de mi línea telefónica constituye un beneficio transitorio que puede retrotraerse; es decir, en el improbable caso de que se me niegue el amparo, la autoridad responsable y la concesionaria conservarían intacta su facultad material y jurídica para volver a suspender el servicio telefónico, por lo tanto, el juicio no queda sin materia.</w:t>
      </w:r>
    </w:p>
    <w:p w14:paraId="4B84AD4B" w14:textId="77777777" w:rsidR="00001DF2" w:rsidRPr="00A555A1" w:rsidRDefault="00000000">
      <w:pPr>
        <w:spacing w:line="360" w:lineRule="auto"/>
        <w:ind w:firstLine="1418"/>
        <w:jc w:val="both"/>
        <w:rPr>
          <w:rFonts w:ascii="Century Gothic" w:eastAsia="Century Gothic" w:hAnsi="Century Gothic" w:cs="Century Gothic"/>
          <w:b/>
          <w:bCs/>
        </w:rPr>
      </w:pPr>
      <w:r w:rsidRPr="00A555A1">
        <w:rPr>
          <w:rFonts w:ascii="Century Gothic" w:eastAsia="Century Gothic" w:hAnsi="Century Gothic" w:cs="Century Gothic"/>
        </w:rPr>
        <w:lastRenderedPageBreak/>
        <w:t xml:space="preserve">En refuerzo a lo anterior, el Vigésimo Tribunal Colegiado en Materia Administrativa del Primer Circuito, mediante la jurisprudencia I.20o.A. J/7 K (11a.), proscribió la negativa dogmática de las medidas cautelares, estableciendo el siguiente criterio: </w:t>
      </w:r>
      <w:r w:rsidRPr="00A555A1">
        <w:rPr>
          <w:rFonts w:ascii="Century Gothic" w:eastAsia="Century Gothic" w:hAnsi="Century Gothic" w:cs="Century Gothic"/>
          <w:b/>
          <w:bCs/>
        </w:rPr>
        <w:t>MEDIDA CAUTELAR CON EFECTOS RESTITUTORIOS ANTICIPADOS EN EL PROCESO DE AMPARO. DEBE CONCEDERSE CUANDO SE ACREDITE UN RIESGO OBJETIVO DE AFECTACIÓN A LOS DERECHOS HUMANOS ANTE LA INCERTIDUMBRE DE UNA EVENTUAL NEGATIVA DEL AMPARO.</w:t>
      </w:r>
    </w:p>
    <w:p w14:paraId="27497CE0" w14:textId="07EF716B" w:rsidR="001278B3" w:rsidRDefault="001278B3" w:rsidP="001278B3">
      <w:pPr>
        <w:spacing w:line="360" w:lineRule="auto"/>
        <w:ind w:firstLine="1418"/>
        <w:jc w:val="both"/>
        <w:rPr>
          <w:rFonts w:ascii="Century Gothic" w:eastAsia="Century Gothic" w:hAnsi="Century Gothic" w:cs="Century Gothic"/>
        </w:rPr>
      </w:pPr>
      <w:r>
        <w:rPr>
          <w:rFonts w:ascii="Century Gothic" w:eastAsia="Century Gothic" w:hAnsi="Century Gothic" w:cs="Century Gothic"/>
        </w:rPr>
        <w:t>Dicho criterio obliga a este H. Juzgado a conceder la tutela anticipada al acreditarse que las normas reclamadas ponen en riesgo objetivo e inminente mis derechos humanos (privacidad, intimidad, libertad de expresión, asociación y protesta, salud, presunción de inocencia, trabajo e inclusión financiera), debiendo ponderarse la apariencia del buen derecho expuesta sobre cualquier predicción hipotética de sobreseimiento.</w:t>
      </w:r>
    </w:p>
    <w:p w14:paraId="0A6BDB29" w14:textId="204CBF75" w:rsidR="00195A45" w:rsidRDefault="00195A45" w:rsidP="001278B3">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b/>
          <w:bCs/>
        </w:rPr>
        <w:t>V.</w:t>
      </w:r>
      <w:r>
        <w:rPr>
          <w:rFonts w:ascii="Century Gothic" w:eastAsia="Century Gothic" w:hAnsi="Century Gothic" w:cs="Century Gothic"/>
          <w:b/>
          <w:bCs/>
        </w:rPr>
        <w:t xml:space="preserve"> Aplicación, ad cautelam, del artículo 48 de la LAmp: </w:t>
      </w:r>
      <w:r>
        <w:rPr>
          <w:rFonts w:ascii="Century Gothic" w:eastAsia="Century Gothic" w:hAnsi="Century Gothic" w:cs="Century Gothic"/>
        </w:rPr>
        <w:t>En el supuesto, sin conceder, que este H. Juzgado de Distrito estime c</w:t>
      </w:r>
      <w:r w:rsidRPr="00195A45">
        <w:rPr>
          <w:rFonts w:ascii="Century Gothic" w:eastAsia="Century Gothic" w:hAnsi="Century Gothic" w:cs="Century Gothic"/>
        </w:rPr>
        <w:t xml:space="preserve">arecer de competencia </w:t>
      </w:r>
      <w:r>
        <w:rPr>
          <w:rFonts w:ascii="Century Gothic" w:eastAsia="Century Gothic" w:hAnsi="Century Gothic" w:cs="Century Gothic"/>
        </w:rPr>
        <w:t>por</w:t>
      </w:r>
      <w:r w:rsidRPr="00195A45">
        <w:rPr>
          <w:rFonts w:ascii="Century Gothic" w:eastAsia="Century Gothic" w:hAnsi="Century Gothic" w:cs="Century Gothic"/>
        </w:rPr>
        <w:t xml:space="preserve"> razón de materia o territorio para conocer del presente juicio de garantías, se solicita que, en estricto acatamiento a las reglas de orden público contenidas en el </w:t>
      </w:r>
      <w:r w:rsidRPr="00195A45">
        <w:rPr>
          <w:rFonts w:ascii="Century Gothic" w:eastAsia="Century Gothic" w:hAnsi="Century Gothic" w:cs="Century Gothic"/>
          <w:b/>
          <w:bCs/>
        </w:rPr>
        <w:t xml:space="preserve">artículo 48 de la </w:t>
      </w:r>
      <w:r>
        <w:rPr>
          <w:rFonts w:ascii="Century Gothic" w:eastAsia="Century Gothic" w:hAnsi="Century Gothic" w:cs="Century Gothic"/>
          <w:b/>
          <w:bCs/>
        </w:rPr>
        <w:t>LAmp</w:t>
      </w:r>
      <w:r w:rsidRPr="00195A45">
        <w:rPr>
          <w:rFonts w:ascii="Century Gothic" w:eastAsia="Century Gothic" w:hAnsi="Century Gothic" w:cs="Century Gothic"/>
        </w:rPr>
        <w:t xml:space="preserve">, </w:t>
      </w:r>
      <w:r w:rsidR="00365B68" w:rsidRPr="00365B68">
        <w:rPr>
          <w:rFonts w:ascii="Century Gothic" w:eastAsia="Century Gothic" w:hAnsi="Century Gothic" w:cs="Century Gothic"/>
        </w:rPr>
        <w:t xml:space="preserve">se abstenga de remitir los autos de forma inmediata sin antes </w:t>
      </w:r>
      <w:r w:rsidR="00365B68" w:rsidRPr="00365B68">
        <w:rPr>
          <w:rFonts w:ascii="Century Gothic" w:eastAsia="Century Gothic" w:hAnsi="Century Gothic" w:cs="Century Gothic"/>
          <w:b/>
          <w:bCs/>
        </w:rPr>
        <w:t>pronunciarse y otorgar la medida cautelar solicitada</w:t>
      </w:r>
      <w:r w:rsidR="00365B68" w:rsidRPr="00365B68">
        <w:rPr>
          <w:rFonts w:ascii="Century Gothic" w:eastAsia="Century Gothic" w:hAnsi="Century Gothic" w:cs="Century Gothic"/>
        </w:rPr>
        <w:t>, bajo los siguientes dos escenarios procesales obligatorios:</w:t>
      </w:r>
    </w:p>
    <w:p w14:paraId="430E9C00" w14:textId="2A3E3D87" w:rsidR="005C3004" w:rsidRPr="005C3004" w:rsidRDefault="005C3004" w:rsidP="001278B3">
      <w:pPr>
        <w:spacing w:line="360" w:lineRule="auto"/>
        <w:ind w:firstLine="1418"/>
        <w:jc w:val="both"/>
        <w:rPr>
          <w:rFonts w:ascii="Century Gothic" w:eastAsia="Century Gothic" w:hAnsi="Century Gothic" w:cs="Century Gothic"/>
        </w:rPr>
      </w:pPr>
      <w:r w:rsidRPr="005C3004">
        <w:rPr>
          <w:rFonts w:ascii="Century Gothic" w:eastAsia="Century Gothic" w:hAnsi="Century Gothic" w:cs="Century Gothic"/>
        </w:rPr>
        <w:t xml:space="preserve">Lo anterior es así, en virtud de que el artículo 48 de la </w:t>
      </w:r>
      <w:r>
        <w:rPr>
          <w:rFonts w:ascii="Century Gothic" w:eastAsia="Century Gothic" w:hAnsi="Century Gothic" w:cs="Century Gothic"/>
        </w:rPr>
        <w:t>LAmp</w:t>
      </w:r>
      <w:r w:rsidRPr="005C3004">
        <w:rPr>
          <w:rFonts w:ascii="Century Gothic" w:eastAsia="Century Gothic" w:hAnsi="Century Gothic" w:cs="Century Gothic"/>
        </w:rPr>
        <w:t xml:space="preserve"> prevé una excepción obligatoria a la regla de remisión inmediata sin decidir sobre la suspensión, consistente en que se trate de actos que importen peligro de privación de la vida,</w:t>
      </w:r>
      <w:r>
        <w:rPr>
          <w:rFonts w:ascii="Century Gothic" w:eastAsia="Century Gothic" w:hAnsi="Century Gothic" w:cs="Century Gothic"/>
        </w:rPr>
        <w:t xml:space="preserve"> ataques a la libertad personal fuera de procedimiento, incomunicación, deportación o expulsión, proscripción o destierro, </w:t>
      </w:r>
      <w:r w:rsidRPr="005C3004">
        <w:rPr>
          <w:rFonts w:ascii="Century Gothic" w:eastAsia="Century Gothic" w:hAnsi="Century Gothic" w:cs="Century Gothic"/>
        </w:rPr>
        <w:t xml:space="preserve">extradición, desaparición forzada de personas o alguno de los prohibidos por el artículo </w:t>
      </w:r>
      <w:r w:rsidRPr="005C3004">
        <w:rPr>
          <w:rFonts w:ascii="Century Gothic" w:eastAsia="Century Gothic" w:hAnsi="Century Gothic" w:cs="Century Gothic"/>
          <w:b/>
          <w:bCs/>
        </w:rPr>
        <w:t xml:space="preserve"> </w:t>
      </w:r>
      <w:r w:rsidRPr="005C3004">
        <w:rPr>
          <w:rFonts w:ascii="Century Gothic" w:eastAsia="Century Gothic" w:hAnsi="Century Gothic" w:cs="Century Gothic"/>
        </w:rPr>
        <w:t xml:space="preserve">22 de la </w:t>
      </w:r>
      <w:r>
        <w:rPr>
          <w:rFonts w:ascii="Century Gothic" w:eastAsia="Century Gothic" w:hAnsi="Century Gothic" w:cs="Century Gothic"/>
        </w:rPr>
        <w:t>CPEUM.</w:t>
      </w:r>
    </w:p>
    <w:p w14:paraId="5B9C884B" w14:textId="53B7B66C" w:rsidR="00195A45" w:rsidRDefault="00195A45" w:rsidP="001278B3">
      <w:pPr>
        <w:spacing w:line="360" w:lineRule="auto"/>
        <w:ind w:firstLine="1418"/>
        <w:jc w:val="both"/>
        <w:rPr>
          <w:rFonts w:ascii="Century Gothic" w:eastAsia="Century Gothic" w:hAnsi="Century Gothic" w:cs="Century Gothic"/>
        </w:rPr>
      </w:pPr>
      <w:r w:rsidRPr="00195A45">
        <w:rPr>
          <w:rFonts w:ascii="Century Gothic" w:eastAsia="Century Gothic" w:hAnsi="Century Gothic" w:cs="Century Gothic"/>
          <w:b/>
          <w:bCs/>
        </w:rPr>
        <w:t>A.</w:t>
      </w:r>
      <w:r>
        <w:rPr>
          <w:rFonts w:ascii="Century Gothic" w:eastAsia="Century Gothic" w:hAnsi="Century Gothic" w:cs="Century Gothic"/>
          <w:b/>
          <w:bCs/>
        </w:rPr>
        <w:t xml:space="preserve"> </w:t>
      </w:r>
      <w:r w:rsidR="00365B68" w:rsidRPr="00365B68">
        <w:rPr>
          <w:rFonts w:ascii="Century Gothic" w:eastAsia="Century Gothic" w:hAnsi="Century Gothic" w:cs="Century Gothic"/>
          <w:b/>
          <w:bCs/>
        </w:rPr>
        <w:t xml:space="preserve">Obligación de proveer sobre la suspensión provisional antes de la admisión, por actualizarse la excepción de actos prohibidos por el artículo 22 de la CPEUM (Artículo 48, párrafo primero, de </w:t>
      </w:r>
      <w:r w:rsidR="00365B68">
        <w:rPr>
          <w:rFonts w:ascii="Century Gothic" w:eastAsia="Century Gothic" w:hAnsi="Century Gothic" w:cs="Century Gothic"/>
          <w:b/>
          <w:bCs/>
        </w:rPr>
        <w:t>la LAmp</w:t>
      </w:r>
      <w:r w:rsidR="001C27BA">
        <w:rPr>
          <w:rFonts w:ascii="Century Gothic" w:eastAsia="Century Gothic" w:hAnsi="Century Gothic" w:cs="Century Gothic"/>
          <w:b/>
          <w:bCs/>
        </w:rPr>
        <w:t>)</w:t>
      </w:r>
      <w:r>
        <w:rPr>
          <w:rFonts w:ascii="Century Gothic" w:eastAsia="Century Gothic" w:hAnsi="Century Gothic" w:cs="Century Gothic"/>
          <w:b/>
          <w:bCs/>
        </w:rPr>
        <w:t xml:space="preserve">: </w:t>
      </w:r>
      <w:r w:rsidRPr="00195A45">
        <w:rPr>
          <w:rFonts w:ascii="Century Gothic" w:eastAsia="Century Gothic" w:hAnsi="Century Gothic" w:cs="Century Gothic"/>
        </w:rPr>
        <w:t>E</w:t>
      </w:r>
      <w:r>
        <w:rPr>
          <w:rFonts w:ascii="Century Gothic" w:eastAsia="Century Gothic" w:hAnsi="Century Gothic" w:cs="Century Gothic"/>
        </w:rPr>
        <w:t xml:space="preserve">l primer párrafo del artículo 48 de la LAmp </w:t>
      </w:r>
      <w:r w:rsidRPr="00195A45">
        <w:rPr>
          <w:rFonts w:ascii="Century Gothic" w:eastAsia="Century Gothic" w:hAnsi="Century Gothic" w:cs="Century Gothic"/>
        </w:rPr>
        <w:t xml:space="preserve">dispone como regla general que cuando un juzgador estime carecer de competencia, remitirá la demanda de plano al órgano competente </w:t>
      </w:r>
      <w:r w:rsidRPr="00195A45">
        <w:rPr>
          <w:rFonts w:ascii="Century Gothic" w:eastAsia="Century Gothic" w:hAnsi="Century Gothic" w:cs="Century Gothic"/>
          <w:i/>
          <w:iCs/>
        </w:rPr>
        <w:t>"sin decidir sobre la admisión ni sobre la suspensión del acto reclamado"</w:t>
      </w:r>
      <w:r w:rsidRPr="00195A45">
        <w:rPr>
          <w:rFonts w:ascii="Century Gothic" w:eastAsia="Century Gothic" w:hAnsi="Century Gothic" w:cs="Century Gothic"/>
        </w:rPr>
        <w:t>.</w:t>
      </w:r>
    </w:p>
    <w:p w14:paraId="129E74D6" w14:textId="3806F626" w:rsidR="00195A45" w:rsidRDefault="00195A45" w:rsidP="001278B3">
      <w:pPr>
        <w:spacing w:line="360" w:lineRule="auto"/>
        <w:ind w:firstLine="1418"/>
        <w:jc w:val="both"/>
        <w:rPr>
          <w:rFonts w:ascii="Century Gothic" w:eastAsia="Century Gothic" w:hAnsi="Century Gothic" w:cs="Century Gothic"/>
          <w:i/>
          <w:iCs/>
        </w:rPr>
      </w:pPr>
      <w:r w:rsidRPr="00195A45">
        <w:rPr>
          <w:rFonts w:ascii="Century Gothic" w:eastAsia="Century Gothic" w:hAnsi="Century Gothic" w:cs="Century Gothic"/>
        </w:rPr>
        <w:lastRenderedPageBreak/>
        <w:t xml:space="preserve">Sin embargo, el propio precepto legal establece una </w:t>
      </w:r>
      <w:r w:rsidRPr="00195A45">
        <w:rPr>
          <w:rFonts w:ascii="Century Gothic" w:eastAsia="Century Gothic" w:hAnsi="Century Gothic" w:cs="Century Gothic"/>
          <w:b/>
          <w:bCs/>
        </w:rPr>
        <w:t>excepción categórica y de aplicación obligatoria</w:t>
      </w:r>
      <w:r w:rsidRPr="00195A45">
        <w:rPr>
          <w:rFonts w:ascii="Century Gothic" w:eastAsia="Century Gothic" w:hAnsi="Century Gothic" w:cs="Century Gothic"/>
        </w:rPr>
        <w:t xml:space="preserve"> tratándose de actos que importen peligro de privación de la vida, ataques a la libertad personal fuera de procedimiento, </w:t>
      </w:r>
      <w:r w:rsidRPr="007E23AF">
        <w:rPr>
          <w:rFonts w:ascii="Century Gothic" w:eastAsia="Century Gothic" w:hAnsi="Century Gothic" w:cs="Century Gothic"/>
          <w:b/>
          <w:bCs/>
        </w:rPr>
        <w:t>incomunicación</w:t>
      </w:r>
      <w:r w:rsidRPr="00195A45">
        <w:rPr>
          <w:rFonts w:ascii="Century Gothic" w:eastAsia="Century Gothic" w:hAnsi="Century Gothic" w:cs="Century Gothic"/>
        </w:rPr>
        <w:t xml:space="preserve">, deportación o expulsión, proscripción o </w:t>
      </w:r>
      <w:r w:rsidRPr="00195A45">
        <w:rPr>
          <w:rFonts w:ascii="Century Gothic" w:eastAsia="Century Gothic" w:hAnsi="Century Gothic" w:cs="Century Gothic"/>
          <w:b/>
          <w:bCs/>
        </w:rPr>
        <w:t>destierro</w:t>
      </w:r>
      <w:r w:rsidRPr="00195A45">
        <w:rPr>
          <w:rFonts w:ascii="Century Gothic" w:eastAsia="Century Gothic" w:hAnsi="Century Gothic" w:cs="Century Gothic"/>
        </w:rPr>
        <w:t xml:space="preserve">, o </w:t>
      </w:r>
      <w:r w:rsidRPr="00A53178">
        <w:rPr>
          <w:rFonts w:ascii="Century Gothic" w:eastAsia="Century Gothic" w:hAnsi="Century Gothic" w:cs="Century Gothic"/>
          <w:b/>
          <w:bCs/>
          <w:i/>
          <w:iCs/>
        </w:rPr>
        <w:t>"alguno de los prohibidos por el artículo 22 de la Constitución Política de los Estados Unidos Mexicanos"</w:t>
      </w:r>
      <w:r w:rsidRPr="00A53178">
        <w:rPr>
          <w:rFonts w:ascii="Century Gothic" w:eastAsia="Century Gothic" w:hAnsi="Century Gothic" w:cs="Century Gothic"/>
          <w:i/>
          <w:iCs/>
        </w:rPr>
        <w:t>.</w:t>
      </w:r>
    </w:p>
    <w:p w14:paraId="03D5314D" w14:textId="117BDA6F" w:rsidR="00365B68" w:rsidRDefault="005C3004" w:rsidP="005C3004">
      <w:pPr>
        <w:spacing w:line="360" w:lineRule="auto"/>
        <w:ind w:firstLine="1418"/>
        <w:jc w:val="both"/>
        <w:rPr>
          <w:rFonts w:ascii="Century Gothic" w:eastAsia="Century Gothic" w:hAnsi="Century Gothic" w:cs="Century Gothic"/>
        </w:rPr>
      </w:pPr>
      <w:r w:rsidRPr="005C3004">
        <w:rPr>
          <w:rFonts w:ascii="Century Gothic" w:eastAsia="Century Gothic" w:hAnsi="Century Gothic" w:cs="Century Gothic"/>
        </w:rPr>
        <w:t>En la especie, los actos reclamados consistentes en la desvinculación</w:t>
      </w:r>
      <w:r w:rsidR="00067F91">
        <w:rPr>
          <w:rFonts w:ascii="Century Gothic" w:eastAsia="Century Gothic" w:hAnsi="Century Gothic" w:cs="Century Gothic"/>
        </w:rPr>
        <w:t>, inhabilitación o</w:t>
      </w:r>
      <w:r w:rsidRPr="005C3004">
        <w:rPr>
          <w:rFonts w:ascii="Century Gothic" w:eastAsia="Century Gothic" w:hAnsi="Century Gothic" w:cs="Century Gothic"/>
        </w:rPr>
        <w:t xml:space="preserve"> suspensión coactiva de la línea telefónica móvil encuadran de manera </w:t>
      </w:r>
      <w:r w:rsidR="00F12227">
        <w:rPr>
          <w:rFonts w:ascii="Century Gothic" w:eastAsia="Century Gothic" w:hAnsi="Century Gothic" w:cs="Century Gothic"/>
        </w:rPr>
        <w:t xml:space="preserve">directa </w:t>
      </w:r>
      <w:r w:rsidRPr="005C3004">
        <w:rPr>
          <w:rFonts w:ascii="Century Gothic" w:eastAsia="Century Gothic" w:hAnsi="Century Gothic" w:cs="Century Gothic"/>
        </w:rPr>
        <w:t xml:space="preserve">en las prohibiciones del artículo 22 </w:t>
      </w:r>
      <w:r w:rsidR="00365B68">
        <w:rPr>
          <w:rFonts w:ascii="Century Gothic" w:eastAsia="Century Gothic" w:hAnsi="Century Gothic" w:cs="Century Gothic"/>
        </w:rPr>
        <w:t>de la CPEUM</w:t>
      </w:r>
      <w:r w:rsidRPr="005C3004">
        <w:rPr>
          <w:rFonts w:ascii="Century Gothic" w:eastAsia="Century Gothic" w:hAnsi="Century Gothic" w:cs="Century Gothic"/>
        </w:rPr>
        <w:t xml:space="preserve">, </w:t>
      </w:r>
      <w:r w:rsidR="00365B68">
        <w:rPr>
          <w:rFonts w:ascii="Century Gothic" w:eastAsia="Century Gothic" w:hAnsi="Century Gothic" w:cs="Century Gothic"/>
        </w:rPr>
        <w:t xml:space="preserve">por traducirse en un </w:t>
      </w:r>
      <w:r w:rsidR="00365B68">
        <w:rPr>
          <w:rFonts w:ascii="Century Gothic" w:eastAsia="Century Gothic" w:hAnsi="Century Gothic" w:cs="Century Gothic"/>
          <w:b/>
          <w:bCs/>
        </w:rPr>
        <w:t>destierro digital</w:t>
      </w:r>
      <w:r w:rsidR="00365B68" w:rsidRPr="004C3173">
        <w:rPr>
          <w:rFonts w:ascii="Century Gothic" w:eastAsia="Century Gothic" w:hAnsi="Century Gothic" w:cs="Century Gothic"/>
        </w:rPr>
        <w:t>{{INICIA_RELACION_CONCEPTO_SEXTO}}</w:t>
      </w:r>
      <w:r w:rsidR="00365B68">
        <w:rPr>
          <w:rFonts w:ascii="Century Gothic" w:eastAsia="Century Gothic" w:hAnsi="Century Gothic" w:cs="Century Gothic"/>
        </w:rPr>
        <w:t xml:space="preserve"> y una </w:t>
      </w:r>
      <w:r w:rsidR="00365B68" w:rsidRPr="00365B68">
        <w:rPr>
          <w:rFonts w:ascii="Century Gothic" w:eastAsia="Century Gothic" w:hAnsi="Century Gothic" w:cs="Century Gothic"/>
          <w:b/>
          <w:bCs/>
        </w:rPr>
        <w:t>confiscación patrimonial</w:t>
      </w:r>
      <w:r w:rsidR="00365B68">
        <w:rPr>
          <w:rFonts w:ascii="Century Gothic" w:eastAsia="Century Gothic" w:hAnsi="Century Gothic" w:cs="Century Gothic"/>
        </w:rPr>
        <w:t xml:space="preserve"> de facto</w:t>
      </w:r>
      <w:r w:rsidR="00365B68" w:rsidRPr="004C3173">
        <w:rPr>
          <w:rFonts w:ascii="Century Gothic" w:eastAsia="Century Gothic" w:hAnsi="Century Gothic" w:cs="Century Gothic"/>
        </w:rPr>
        <w:t>{{</w:t>
      </w:r>
      <w:r w:rsidR="00365B68">
        <w:rPr>
          <w:rFonts w:ascii="Century Gothic" w:eastAsia="Century Gothic" w:hAnsi="Century Gothic" w:cs="Century Gothic"/>
        </w:rPr>
        <w:t>TERMINA</w:t>
      </w:r>
      <w:r w:rsidR="00365B68" w:rsidRPr="004C3173">
        <w:rPr>
          <w:rFonts w:ascii="Century Gothic" w:eastAsia="Century Gothic" w:hAnsi="Century Gothic" w:cs="Century Gothic"/>
        </w:rPr>
        <w:t>_RELACION_CONCEPTO_SEXTO}}</w:t>
      </w:r>
      <w:r w:rsidR="00365B68">
        <w:rPr>
          <w:rFonts w:ascii="Century Gothic" w:eastAsia="Century Gothic" w:hAnsi="Century Gothic" w:cs="Century Gothic"/>
        </w:rPr>
        <w:t>:</w:t>
      </w:r>
    </w:p>
    <w:p w14:paraId="680A2040" w14:textId="0ABB8952" w:rsidR="005C3004" w:rsidRDefault="00E548F9" w:rsidP="00365B68">
      <w:pPr>
        <w:spacing w:line="360" w:lineRule="auto"/>
        <w:ind w:firstLine="1418"/>
        <w:jc w:val="both"/>
        <w:rPr>
          <w:rFonts w:ascii="Century Gothic" w:eastAsia="Century Gothic" w:hAnsi="Century Gothic" w:cs="Century Gothic"/>
        </w:rPr>
      </w:pPr>
      <w:r>
        <w:rPr>
          <w:rFonts w:ascii="Century Gothic" w:eastAsia="Century Gothic" w:hAnsi="Century Gothic" w:cs="Century Gothic"/>
          <w:b/>
          <w:bCs/>
        </w:rPr>
        <w:t xml:space="preserve">• </w:t>
      </w:r>
      <w:r w:rsidR="00365B68">
        <w:rPr>
          <w:rFonts w:ascii="Century Gothic" w:eastAsia="Century Gothic" w:hAnsi="Century Gothic" w:cs="Century Gothic"/>
          <w:b/>
          <w:bCs/>
        </w:rPr>
        <w:t>Destierro</w:t>
      </w:r>
      <w:r w:rsidR="007E23AF">
        <w:rPr>
          <w:rFonts w:ascii="Century Gothic" w:eastAsia="Century Gothic" w:hAnsi="Century Gothic" w:cs="Century Gothic"/>
          <w:b/>
          <w:bCs/>
        </w:rPr>
        <w:t xml:space="preserve"> e incomunicación</w:t>
      </w:r>
      <w:r w:rsidR="00365B68">
        <w:rPr>
          <w:rFonts w:ascii="Century Gothic" w:eastAsia="Century Gothic" w:hAnsi="Century Gothic" w:cs="Century Gothic"/>
          <w:b/>
          <w:bCs/>
        </w:rPr>
        <w:t>:</w:t>
      </w:r>
      <w:r w:rsidR="005C3004" w:rsidRPr="005C3004">
        <w:rPr>
          <w:rFonts w:ascii="Century Gothic" w:eastAsia="Century Gothic" w:hAnsi="Century Gothic" w:cs="Century Gothic"/>
        </w:rPr>
        <w:t xml:space="preserve"> </w:t>
      </w:r>
      <w:r w:rsidR="00365B68" w:rsidRPr="00365B68">
        <w:rPr>
          <w:rFonts w:ascii="Century Gothic" w:eastAsia="Century Gothic" w:hAnsi="Century Gothic" w:cs="Century Gothic"/>
        </w:rPr>
        <w:t xml:space="preserve">El artículo 22 constitucional proscribe el </w:t>
      </w:r>
      <w:r w:rsidR="00365B68" w:rsidRPr="00365B68">
        <w:rPr>
          <w:rFonts w:ascii="Century Gothic" w:eastAsia="Century Gothic" w:hAnsi="Century Gothic" w:cs="Century Gothic"/>
          <w:b/>
          <w:bCs/>
        </w:rPr>
        <w:t>destierro</w:t>
      </w:r>
      <w:r w:rsidR="00365B68" w:rsidRPr="00365B68">
        <w:rPr>
          <w:rFonts w:ascii="Century Gothic" w:eastAsia="Century Gothic" w:hAnsi="Century Gothic" w:cs="Century Gothic"/>
        </w:rPr>
        <w:t xml:space="preserve"> como sanción o acto de imperio</w:t>
      </w:r>
      <w:r w:rsidR="007E23AF">
        <w:rPr>
          <w:rFonts w:ascii="Century Gothic" w:eastAsia="Century Gothic" w:hAnsi="Century Gothic" w:cs="Century Gothic"/>
        </w:rPr>
        <w:t>, así como el mencionado artículo 48, los actos de incomunicación</w:t>
      </w:r>
      <w:r w:rsidR="00365B68" w:rsidRPr="00365B68">
        <w:rPr>
          <w:rFonts w:ascii="Century Gothic" w:eastAsia="Century Gothic" w:hAnsi="Century Gothic" w:cs="Century Gothic"/>
        </w:rPr>
        <w:t xml:space="preserve">. En el paradigma de los derechos humanos del siglo XXI, el acceso a las telecomunicaciones y al internet de banda ancha (tutelados por el artículo 6o. </w:t>
      </w:r>
      <w:r w:rsidR="00365B68">
        <w:rPr>
          <w:rFonts w:ascii="Century Gothic" w:eastAsia="Century Gothic" w:hAnsi="Century Gothic" w:cs="Century Gothic"/>
        </w:rPr>
        <w:t>de la CPEUM</w:t>
      </w:r>
      <w:r w:rsidR="00365B68" w:rsidRPr="00365B68">
        <w:rPr>
          <w:rFonts w:ascii="Century Gothic" w:eastAsia="Century Gothic" w:hAnsi="Century Gothic" w:cs="Century Gothic"/>
        </w:rPr>
        <w:t xml:space="preserve">) constituye el espacio público indispensable para el ejercicio de la vida social, civil y profesional de las personas. Privar coactivamente a un gobernado de su conexión móvil por negarse a entregar </w:t>
      </w:r>
      <w:r w:rsidR="00365B68">
        <w:rPr>
          <w:rFonts w:ascii="Century Gothic" w:eastAsia="Century Gothic" w:hAnsi="Century Gothic" w:cs="Century Gothic"/>
        </w:rPr>
        <w:t>sus datos personales sensibles</w:t>
      </w:r>
      <w:r w:rsidR="00365B68" w:rsidRPr="00365B68">
        <w:rPr>
          <w:rFonts w:ascii="Century Gothic" w:eastAsia="Century Gothic" w:hAnsi="Century Gothic" w:cs="Century Gothic"/>
        </w:rPr>
        <w:t xml:space="preserve"> equivale a un </w:t>
      </w:r>
      <w:r w:rsidR="00365B68" w:rsidRPr="00365B68">
        <w:rPr>
          <w:rFonts w:ascii="Century Gothic" w:eastAsia="Century Gothic" w:hAnsi="Century Gothic" w:cs="Century Gothic"/>
          <w:b/>
          <w:bCs/>
        </w:rPr>
        <w:t>destierro contemporáneo de la plaza pública digital</w:t>
      </w:r>
      <w:r w:rsidR="00365B68" w:rsidRPr="00365B68">
        <w:rPr>
          <w:rFonts w:ascii="Century Gothic" w:eastAsia="Century Gothic" w:hAnsi="Century Gothic" w:cs="Century Gothic"/>
        </w:rPr>
        <w:t xml:space="preserve">, decretando su muerte digital e incomunicación de facto, acto que encuadra en la excepción de urgencia del artículo 48, primer párrafo, de la </w:t>
      </w:r>
      <w:r w:rsidR="00365B68">
        <w:rPr>
          <w:rFonts w:ascii="Century Gothic" w:eastAsia="Century Gothic" w:hAnsi="Century Gothic" w:cs="Century Gothic"/>
        </w:rPr>
        <w:t>LAmp</w:t>
      </w:r>
      <w:r w:rsidR="00365B68" w:rsidRPr="00365B68">
        <w:rPr>
          <w:rFonts w:ascii="Century Gothic" w:eastAsia="Century Gothic" w:hAnsi="Century Gothic" w:cs="Century Gothic"/>
        </w:rPr>
        <w:t>.</w:t>
      </w:r>
    </w:p>
    <w:p w14:paraId="761EAAD2" w14:textId="0D317CDC" w:rsidR="007E23AF" w:rsidRDefault="007E23AF" w:rsidP="00365B68">
      <w:pPr>
        <w:spacing w:line="360" w:lineRule="auto"/>
        <w:ind w:firstLine="1418"/>
        <w:jc w:val="both"/>
        <w:rPr>
          <w:rFonts w:ascii="Century Gothic" w:eastAsia="Century Gothic" w:hAnsi="Century Gothic" w:cs="Century Gothic"/>
        </w:rPr>
      </w:pPr>
      <w:r w:rsidRPr="007E23AF">
        <w:rPr>
          <w:rFonts w:ascii="Century Gothic" w:eastAsia="Century Gothic" w:hAnsi="Century Gothic" w:cs="Century Gothic"/>
        </w:rPr>
        <w:t xml:space="preserve">Refuerza lo anterior la doctrina vinculante de la </w:t>
      </w:r>
      <w:r w:rsidRPr="00E548F9">
        <w:rPr>
          <w:rFonts w:ascii="Century Gothic" w:eastAsia="Century Gothic" w:hAnsi="Century Gothic" w:cs="Century Gothic"/>
        </w:rPr>
        <w:t xml:space="preserve">Corte IDH </w:t>
      </w:r>
      <w:r w:rsidRPr="007E23AF">
        <w:rPr>
          <w:rFonts w:ascii="Century Gothic" w:eastAsia="Century Gothic" w:hAnsi="Century Gothic" w:cs="Century Gothic"/>
        </w:rPr>
        <w:t xml:space="preserve">y los estándares de la </w:t>
      </w:r>
      <w:r w:rsidRPr="00E548F9">
        <w:rPr>
          <w:rFonts w:ascii="Century Gothic" w:eastAsia="Century Gothic" w:hAnsi="Century Gothic" w:cs="Century Gothic"/>
        </w:rPr>
        <w:t>Relatoría Especial para la Libertad de Expresión</w:t>
      </w:r>
      <w:r w:rsidRPr="007E23AF">
        <w:rPr>
          <w:rFonts w:ascii="Century Gothic" w:eastAsia="Century Gothic" w:hAnsi="Century Gothic" w:cs="Century Gothic"/>
        </w:rPr>
        <w:t xml:space="preserve">, los cuales han determinado de forma categórica que la desconexión total de un canal de comunicación o el corte de servicios de telecomunicaciones por razones administrativo-estatales constituye una </w:t>
      </w:r>
      <w:r w:rsidRPr="007E23AF">
        <w:rPr>
          <w:rFonts w:ascii="Century Gothic" w:eastAsia="Century Gothic" w:hAnsi="Century Gothic" w:cs="Century Gothic"/>
          <w:b/>
          <w:bCs/>
        </w:rPr>
        <w:t xml:space="preserve">restricción indirecta y radical </w:t>
      </w:r>
      <w:r w:rsidRPr="00961DB4">
        <w:rPr>
          <w:rFonts w:ascii="Century Gothic" w:eastAsia="Century Gothic" w:hAnsi="Century Gothic" w:cs="Century Gothic"/>
        </w:rPr>
        <w:t>(mecanismo de censura indirecta)</w:t>
      </w:r>
      <w:r w:rsidRPr="007E23AF">
        <w:rPr>
          <w:rFonts w:ascii="Century Gothic" w:eastAsia="Century Gothic" w:hAnsi="Century Gothic" w:cs="Century Gothic"/>
        </w:rPr>
        <w:t xml:space="preserve"> proscrita por el artículo 13.3 de la Convención Americana sobre Derechos Humanos</w:t>
      </w:r>
      <w:r w:rsidR="00E548F9">
        <w:rPr>
          <w:rFonts w:ascii="Century Gothic" w:eastAsia="Century Gothic" w:hAnsi="Century Gothic" w:cs="Century Gothic"/>
        </w:rPr>
        <w:t>.</w:t>
      </w:r>
      <w:r w:rsidRPr="007E23AF">
        <w:rPr>
          <w:rFonts w:ascii="Century Gothic" w:eastAsia="Century Gothic" w:hAnsi="Century Gothic" w:cs="Century Gothic"/>
        </w:rPr>
        <w:t xml:space="preserve"> (cfr. </w:t>
      </w:r>
      <w:r w:rsidRPr="007E23AF">
        <w:rPr>
          <w:rFonts w:ascii="Century Gothic" w:eastAsia="Century Gothic" w:hAnsi="Century Gothic" w:cs="Century Gothic"/>
          <w:b/>
          <w:bCs/>
          <w:i/>
          <w:iCs/>
        </w:rPr>
        <w:t>Caso Granier y otros -RCTV- Vs. Venezuela</w:t>
      </w:r>
      <w:r w:rsidRPr="007E23AF">
        <w:rPr>
          <w:rFonts w:ascii="Century Gothic" w:eastAsia="Century Gothic" w:hAnsi="Century Gothic" w:cs="Century Gothic"/>
        </w:rPr>
        <w:t>)</w:t>
      </w:r>
      <w:r w:rsidR="00D16AB2">
        <w:rPr>
          <w:rStyle w:val="Refdenotaalpie"/>
          <w:rFonts w:ascii="Century Gothic" w:eastAsia="Century Gothic" w:hAnsi="Century Gothic" w:cs="Century Gothic"/>
        </w:rPr>
        <w:footnoteReference w:id="168"/>
      </w:r>
      <w:r w:rsidR="00E548F9">
        <w:rPr>
          <w:rFonts w:ascii="Century Gothic" w:eastAsia="Century Gothic" w:hAnsi="Century Gothic" w:cs="Century Gothic"/>
        </w:rPr>
        <w:t>.</w:t>
      </w:r>
    </w:p>
    <w:p w14:paraId="4F508FE1" w14:textId="5E366323" w:rsidR="001416FD" w:rsidRPr="001416FD" w:rsidRDefault="00E548F9" w:rsidP="001416FD">
      <w:pPr>
        <w:spacing w:line="360" w:lineRule="auto"/>
        <w:ind w:firstLine="1418"/>
        <w:jc w:val="both"/>
        <w:rPr>
          <w:rFonts w:ascii="Century Gothic" w:eastAsia="Century Gothic" w:hAnsi="Century Gothic" w:cs="Century Gothic"/>
        </w:rPr>
      </w:pPr>
      <w:r w:rsidRPr="00E548F9">
        <w:rPr>
          <w:rFonts w:ascii="Century Gothic" w:eastAsia="Century Gothic" w:hAnsi="Century Gothic" w:cs="Century Gothic"/>
        </w:rPr>
        <w:lastRenderedPageBreak/>
        <w:t xml:space="preserve">Asimismo, conforme a la </w:t>
      </w:r>
      <w:r w:rsidRPr="00AD700C">
        <w:rPr>
          <w:rFonts w:ascii="Century Gothic" w:eastAsia="Century Gothic" w:hAnsi="Century Gothic" w:cs="Century Gothic"/>
        </w:rPr>
        <w:t>Declaración Conjunta sobre Libertad de Expresión e Internet</w:t>
      </w:r>
      <w:r w:rsidR="00AD700C">
        <w:rPr>
          <w:rFonts w:ascii="Century Gothic" w:eastAsia="Century Gothic" w:hAnsi="Century Gothic" w:cs="Century Gothic"/>
          <w:b/>
          <w:bCs/>
        </w:rPr>
        <w:t xml:space="preserve"> </w:t>
      </w:r>
      <w:r w:rsidRPr="00E548F9">
        <w:rPr>
          <w:rFonts w:ascii="Century Gothic" w:eastAsia="Century Gothic" w:hAnsi="Century Gothic" w:cs="Century Gothic"/>
        </w:rPr>
        <w:t>de las relatorías de derechos humanos</w:t>
      </w:r>
      <w:r w:rsidR="00AD700C">
        <w:rPr>
          <w:rStyle w:val="Refdenotaalpie"/>
          <w:rFonts w:ascii="Century Gothic" w:eastAsia="Century Gothic" w:hAnsi="Century Gothic" w:cs="Century Gothic"/>
        </w:rPr>
        <w:footnoteReference w:id="169"/>
      </w:r>
      <w:r w:rsidRPr="00E548F9">
        <w:rPr>
          <w:rFonts w:ascii="Century Gothic" w:eastAsia="Century Gothic" w:hAnsi="Century Gothic" w:cs="Century Gothic"/>
        </w:rPr>
        <w:t xml:space="preserve"> —criterio hermenéutico orientador para este órgano jurisdiccional—, </w:t>
      </w:r>
      <w:r w:rsidR="001416FD" w:rsidRPr="001416FD">
        <w:rPr>
          <w:rFonts w:ascii="Century Gothic" w:eastAsia="Century Gothic" w:hAnsi="Century Gothic" w:cs="Century Gothic"/>
          <w:i/>
          <w:iCs/>
        </w:rPr>
        <w:t>“[l]</w:t>
      </w:r>
      <w:r w:rsidR="001416FD" w:rsidRPr="001416FD">
        <w:rPr>
          <w:rFonts w:ascii="Century Gothic" w:eastAsia="Century Gothic" w:hAnsi="Century Gothic" w:cs="Century Gothic"/>
          <w:i/>
          <w:iCs/>
          <w:lang w:val="es-CR"/>
        </w:rPr>
        <w:t>a interrupción del acceso a Internet, o a parte de este, aplicada a poblaciones enteras o a determinados segmentos del público (cancelación de Internet) no puede estar justificada en ningún caso, ni siquiera por razones de orden público o seguridad nacional. Lo mismo se aplica a las medidas de reducción de la velocidad de navegación de Internet o de partes de este”,</w:t>
      </w:r>
      <w:r w:rsidR="001416FD">
        <w:rPr>
          <w:rFonts w:ascii="Century Gothic" w:eastAsia="Century Gothic" w:hAnsi="Century Gothic" w:cs="Century Gothic"/>
          <w:lang w:val="es-CR"/>
        </w:rPr>
        <w:t xml:space="preserve"> agregando que </w:t>
      </w:r>
      <w:r w:rsidR="001416FD" w:rsidRPr="001416FD">
        <w:rPr>
          <w:rFonts w:ascii="Century Gothic" w:eastAsia="Century Gothic" w:hAnsi="Century Gothic" w:cs="Century Gothic"/>
          <w:i/>
          <w:iCs/>
          <w:lang w:val="es-CR"/>
        </w:rPr>
        <w:t>“[l]a negación del derecho de acceso a Internet, a modo de sanción, constituye una medida extrema que solo podría estar justificada cuando no existan otras medidas menos restrictivas y siempre que haya sido ordenada por la justicia, teniendo en cuenta su impacto para el ejercicio de los derechos humanos.”</w:t>
      </w:r>
    </w:p>
    <w:p w14:paraId="4D2370FB" w14:textId="68D3A3E4" w:rsidR="00E548F9" w:rsidRDefault="00E548F9" w:rsidP="00365B68">
      <w:pPr>
        <w:spacing w:line="360" w:lineRule="auto"/>
        <w:ind w:firstLine="1418"/>
        <w:jc w:val="both"/>
        <w:rPr>
          <w:rFonts w:ascii="Century Gothic" w:eastAsia="Century Gothic" w:hAnsi="Century Gothic" w:cs="Century Gothic"/>
        </w:rPr>
      </w:pPr>
      <w:r w:rsidRPr="00E548F9">
        <w:rPr>
          <w:rFonts w:ascii="Century Gothic" w:eastAsia="Century Gothic" w:hAnsi="Century Gothic" w:cs="Century Gothic"/>
        </w:rPr>
        <w:t xml:space="preserve">En consecuencia, al privarse de la línea telefónica móvil, se genera una </w:t>
      </w:r>
      <w:r w:rsidRPr="00E548F9">
        <w:rPr>
          <w:rFonts w:ascii="Century Gothic" w:eastAsia="Century Gothic" w:hAnsi="Century Gothic" w:cs="Century Gothic"/>
          <w:b/>
          <w:bCs/>
        </w:rPr>
        <w:t>muerte civil y digital</w:t>
      </w:r>
      <w:r w:rsidRPr="00E548F9">
        <w:rPr>
          <w:rFonts w:ascii="Century Gothic" w:eastAsia="Century Gothic" w:hAnsi="Century Gothic" w:cs="Century Gothic"/>
        </w:rPr>
        <w:t xml:space="preserve"> que la jurisprudencia interamericana equipara al aislamiento y la exclusión forzada del debate público. Por ende, la desconexión coactiva actualiza materialmente los supuestos de </w:t>
      </w:r>
      <w:r w:rsidRPr="00E548F9">
        <w:rPr>
          <w:rFonts w:ascii="Century Gothic" w:eastAsia="Century Gothic" w:hAnsi="Century Gothic" w:cs="Century Gothic"/>
          <w:b/>
          <w:bCs/>
        </w:rPr>
        <w:t>destierro e incomunicación</w:t>
      </w:r>
      <w:r w:rsidRPr="00E548F9">
        <w:rPr>
          <w:rFonts w:ascii="Century Gothic" w:eastAsia="Century Gothic" w:hAnsi="Century Gothic" w:cs="Century Gothic"/>
        </w:rPr>
        <w:t xml:space="preserve"> previstos en el artículo 22 de la CPEUM y 48 de la Ley de Amparo, obligando a este H. Juzgado a proveer sobre la suspensión antes de desprenderse del conocimiento del asunto.</w:t>
      </w:r>
    </w:p>
    <w:p w14:paraId="127B2F80" w14:textId="5FE59008" w:rsidR="00365B68" w:rsidRDefault="003D15F5" w:rsidP="00365B68">
      <w:pPr>
        <w:spacing w:line="360" w:lineRule="auto"/>
        <w:ind w:firstLine="1418"/>
        <w:jc w:val="both"/>
        <w:rPr>
          <w:rFonts w:ascii="Century Gothic" w:eastAsia="Century Gothic" w:hAnsi="Century Gothic" w:cs="Century Gothic"/>
        </w:rPr>
      </w:pPr>
      <w:r w:rsidRPr="004C3173">
        <w:rPr>
          <w:rFonts w:ascii="Century Gothic" w:eastAsia="Century Gothic" w:hAnsi="Century Gothic" w:cs="Century Gothic"/>
        </w:rPr>
        <w:t>{{INICIA_RELACION_CONCEPTO_SEXTO}}</w:t>
      </w:r>
      <w:r w:rsidR="00E548F9">
        <w:rPr>
          <w:rFonts w:ascii="Century Gothic" w:eastAsia="Century Gothic" w:hAnsi="Century Gothic" w:cs="Century Gothic"/>
          <w:b/>
          <w:bCs/>
        </w:rPr>
        <w:t xml:space="preserve">• </w:t>
      </w:r>
      <w:r w:rsidR="00365B68">
        <w:rPr>
          <w:rFonts w:ascii="Century Gothic" w:eastAsia="Century Gothic" w:hAnsi="Century Gothic" w:cs="Century Gothic"/>
          <w:b/>
          <w:bCs/>
        </w:rPr>
        <w:t>Confiscación</w:t>
      </w:r>
      <w:r w:rsidR="00365B68">
        <w:rPr>
          <w:rFonts w:ascii="Century Gothic" w:eastAsia="Century Gothic" w:hAnsi="Century Gothic" w:cs="Century Gothic"/>
        </w:rPr>
        <w:t xml:space="preserve">: </w:t>
      </w:r>
      <w:r w:rsidR="00365B68" w:rsidRPr="00365B68">
        <w:rPr>
          <w:rFonts w:ascii="Century Gothic" w:eastAsia="Century Gothic" w:hAnsi="Century Gothic" w:cs="Century Gothic"/>
        </w:rPr>
        <w:t>El artículo 22</w:t>
      </w:r>
      <w:r w:rsidR="00365B68">
        <w:rPr>
          <w:rFonts w:ascii="Century Gothic" w:eastAsia="Century Gothic" w:hAnsi="Century Gothic" w:cs="Century Gothic"/>
        </w:rPr>
        <w:t xml:space="preserve"> de la CPEUM</w:t>
      </w:r>
      <w:r w:rsidR="00365B68" w:rsidRPr="00365B68">
        <w:rPr>
          <w:rFonts w:ascii="Century Gothic" w:eastAsia="Century Gothic" w:hAnsi="Century Gothic" w:cs="Century Gothic"/>
        </w:rPr>
        <w:t xml:space="preserve"> prohíbe terminantemente la </w:t>
      </w:r>
      <w:r w:rsidR="00365B68" w:rsidRPr="00365B68">
        <w:rPr>
          <w:rFonts w:ascii="Century Gothic" w:eastAsia="Century Gothic" w:hAnsi="Century Gothic" w:cs="Century Gothic"/>
          <w:b/>
          <w:bCs/>
        </w:rPr>
        <w:t>confiscación de bienes</w:t>
      </w:r>
      <w:r w:rsidR="00365B68" w:rsidRPr="00365B68">
        <w:rPr>
          <w:rFonts w:ascii="Century Gothic" w:eastAsia="Century Gothic" w:hAnsi="Century Gothic" w:cs="Century Gothic"/>
        </w:rPr>
        <w:t xml:space="preserve">. Al suspenderse la línea telefónica, se inutiliza el único Factor de Autenticación Categoría 3 (soft token bancario) legalmente permitido por el artículo 308 de la </w:t>
      </w:r>
      <w:r w:rsidR="00365B68">
        <w:rPr>
          <w:rFonts w:ascii="Century Gothic" w:eastAsia="Century Gothic" w:hAnsi="Century Gothic" w:cs="Century Gothic"/>
        </w:rPr>
        <w:t>CUB</w:t>
      </w:r>
      <w:r w:rsidR="00365B68" w:rsidRPr="00365B68">
        <w:rPr>
          <w:rFonts w:ascii="Century Gothic" w:eastAsia="Century Gothic" w:hAnsi="Century Gothic" w:cs="Century Gothic"/>
        </w:rPr>
        <w:t xml:space="preserve"> de la CNBV para autorizar transferencias de recursos. Al estar prohibidos los tokens físicos por dicha regulación federal, la desconexión de la línea telefónica produce el </w:t>
      </w:r>
      <w:r w:rsidR="00365B68" w:rsidRPr="00365B68">
        <w:rPr>
          <w:rFonts w:ascii="Century Gothic" w:eastAsia="Century Gothic" w:hAnsi="Century Gothic" w:cs="Century Gothic"/>
          <w:b/>
          <w:bCs/>
        </w:rPr>
        <w:t>congelamiento y secuestro inmediato de la totalidad del patrimonio financiero</w:t>
      </w:r>
      <w:r w:rsidR="00365B68" w:rsidRPr="00365B68">
        <w:rPr>
          <w:rFonts w:ascii="Century Gothic" w:eastAsia="Century Gothic" w:hAnsi="Century Gothic" w:cs="Century Gothic"/>
        </w:rPr>
        <w:t xml:space="preserve"> de la quejosa. Impedir el uso y libre disposición de los recursos económicos propios sin que medie juicio o mandamiento judicial idóneo constituye un acto de naturaleza confiscatoria que constriñe la subsistencia diaria de la suscrita</w:t>
      </w:r>
      <w:r>
        <w:rPr>
          <w:rFonts w:ascii="Century Gothic" w:eastAsia="Century Gothic" w:hAnsi="Century Gothic" w:cs="Century Gothic"/>
        </w:rPr>
        <w:t xml:space="preserve"> persona quejosa</w:t>
      </w:r>
      <w:r w:rsidR="00365B68" w:rsidRPr="00365B68">
        <w:rPr>
          <w:rFonts w:ascii="Century Gothic" w:eastAsia="Century Gothic" w:hAnsi="Century Gothic" w:cs="Century Gothic"/>
        </w:rPr>
        <w:t>.</w:t>
      </w:r>
      <w:r w:rsidRPr="003D15F5">
        <w:rPr>
          <w:rFonts w:ascii="Century Gothic" w:eastAsia="Century Gothic" w:hAnsi="Century Gothic" w:cs="Century Gothic"/>
        </w:rPr>
        <w:t xml:space="preserve"> </w:t>
      </w:r>
      <w:r w:rsidR="00E548F9" w:rsidRPr="00E548F9">
        <w:rPr>
          <w:rFonts w:ascii="Century Gothic" w:eastAsia="Century Gothic" w:hAnsi="Century Gothic" w:cs="Century Gothic"/>
        </w:rPr>
        <w:t xml:space="preserve">Aunado a que al extinguirse coactivamente la identidad digital del usuario ligada a su </w:t>
      </w:r>
      <w:r w:rsidR="00E548F9" w:rsidRPr="00E548F9">
        <w:rPr>
          <w:rFonts w:ascii="Century Gothic" w:eastAsia="Century Gothic" w:hAnsi="Century Gothic" w:cs="Century Gothic"/>
        </w:rPr>
        <w:lastRenderedPageBreak/>
        <w:t xml:space="preserve">línea telefónica, se produce la pérdida de control y disposición absoluta sobre sus bienes, lo cual encuadra en la prohibición absoluta de confiscación y secuestro patrimonial de facto que tutela el artículo 22 </w:t>
      </w:r>
      <w:r w:rsidR="00E548F9">
        <w:rPr>
          <w:rFonts w:ascii="Century Gothic" w:eastAsia="Century Gothic" w:hAnsi="Century Gothic" w:cs="Century Gothic"/>
        </w:rPr>
        <w:t>de la CPEUM</w:t>
      </w:r>
      <w:r w:rsidR="00E548F9" w:rsidRPr="00E548F9">
        <w:rPr>
          <w:rFonts w:ascii="Century Gothic" w:eastAsia="Century Gothic" w:hAnsi="Century Gothic" w:cs="Century Gothic"/>
        </w:rPr>
        <w:t>.</w:t>
      </w:r>
      <w:r w:rsidRPr="004C3173">
        <w:rPr>
          <w:rFonts w:ascii="Century Gothic" w:eastAsia="Century Gothic" w:hAnsi="Century Gothic" w:cs="Century Gothic"/>
        </w:rPr>
        <w:t>{{</w:t>
      </w:r>
      <w:r>
        <w:rPr>
          <w:rFonts w:ascii="Century Gothic" w:eastAsia="Century Gothic" w:hAnsi="Century Gothic" w:cs="Century Gothic"/>
        </w:rPr>
        <w:t>TERMINA</w:t>
      </w:r>
      <w:r w:rsidRPr="004C3173">
        <w:rPr>
          <w:rFonts w:ascii="Century Gothic" w:eastAsia="Century Gothic" w:hAnsi="Century Gothic" w:cs="Century Gothic"/>
        </w:rPr>
        <w:t>_RELACION_CONCEPTO_SEXTO}}</w:t>
      </w:r>
    </w:p>
    <w:p w14:paraId="07E45243" w14:textId="0AEDF7C6" w:rsidR="003D15F5" w:rsidRDefault="003D15F5" w:rsidP="00365B68">
      <w:pPr>
        <w:spacing w:line="360" w:lineRule="auto"/>
        <w:ind w:firstLine="1418"/>
        <w:jc w:val="both"/>
        <w:rPr>
          <w:rFonts w:ascii="Century Gothic" w:eastAsia="Century Gothic" w:hAnsi="Century Gothic" w:cs="Century Gothic"/>
        </w:rPr>
      </w:pPr>
      <w:r w:rsidRPr="003D15F5">
        <w:rPr>
          <w:rFonts w:ascii="Century Gothic" w:eastAsia="Century Gothic" w:hAnsi="Century Gothic" w:cs="Century Gothic"/>
        </w:rPr>
        <w:t xml:space="preserve">Consecuentemente, al tratarse de actos equiparables al destierro y la confiscación de bienes proscritos por el artículo 22 de la CPEUM, este H. Juzgado se encuentra obligado a </w:t>
      </w:r>
      <w:r w:rsidRPr="003D15F5">
        <w:rPr>
          <w:rFonts w:ascii="Century Gothic" w:eastAsia="Century Gothic" w:hAnsi="Century Gothic" w:cs="Century Gothic"/>
          <w:b/>
          <w:bCs/>
        </w:rPr>
        <w:t>proveer sobre la suspensión provisional</w:t>
      </w:r>
      <w:r w:rsidRPr="003D15F5">
        <w:rPr>
          <w:rFonts w:ascii="Century Gothic" w:eastAsia="Century Gothic" w:hAnsi="Century Gothic" w:cs="Century Gothic"/>
        </w:rPr>
        <w:t xml:space="preserve"> y dictar las medidas restitutorias urgentes para reactivar el servicio antes de desprenderse del conocimiento del asunto.</w:t>
      </w:r>
    </w:p>
    <w:p w14:paraId="57068D1E" w14:textId="553BFCC0" w:rsidR="003D15F5" w:rsidRDefault="003D15F5" w:rsidP="003D15F5">
      <w:pPr>
        <w:spacing w:line="360" w:lineRule="auto"/>
        <w:ind w:firstLine="1418"/>
        <w:jc w:val="both"/>
        <w:rPr>
          <w:rFonts w:ascii="Century Gothic" w:eastAsia="Century Gothic" w:hAnsi="Century Gothic" w:cs="Century Gothic"/>
          <w:i/>
          <w:iCs/>
        </w:rPr>
      </w:pPr>
      <w:r w:rsidRPr="003D15F5">
        <w:rPr>
          <w:rFonts w:ascii="Century Gothic" w:eastAsia="Century Gothic" w:hAnsi="Century Gothic" w:cs="Century Gothic"/>
          <w:b/>
          <w:bCs/>
        </w:rPr>
        <w:t xml:space="preserve">B. Prohibición absoluta de declinar competencia posterior a la admisión, hasta en tanto se resuelva sobre la suspensión definitiva (Artículo 48, último párrafo, de la </w:t>
      </w:r>
      <w:r>
        <w:rPr>
          <w:rFonts w:ascii="Century Gothic" w:eastAsia="Century Gothic" w:hAnsi="Century Gothic" w:cs="Century Gothic"/>
          <w:b/>
          <w:bCs/>
        </w:rPr>
        <w:t>LAmp</w:t>
      </w:r>
      <w:r w:rsidRPr="003D15F5">
        <w:rPr>
          <w:rFonts w:ascii="Century Gothic" w:eastAsia="Century Gothic" w:hAnsi="Century Gothic" w:cs="Century Gothic"/>
          <w:b/>
          <w:bCs/>
        </w:rPr>
        <w:t>)</w:t>
      </w:r>
      <w:r>
        <w:rPr>
          <w:rFonts w:ascii="Century Gothic" w:eastAsia="Century Gothic" w:hAnsi="Century Gothic" w:cs="Century Gothic"/>
          <w:b/>
          <w:bCs/>
        </w:rPr>
        <w:t xml:space="preserve">:  </w:t>
      </w:r>
      <w:r w:rsidRPr="003D15F5">
        <w:rPr>
          <w:rFonts w:ascii="Century Gothic" w:eastAsia="Century Gothic" w:hAnsi="Century Gothic" w:cs="Century Gothic"/>
        </w:rPr>
        <w:t xml:space="preserve">Por otra parte, si a la fecha en que se pretenda resolver sobre la competencia material del presente juicio, la demanda de amparo indirecto </w:t>
      </w:r>
      <w:r w:rsidRPr="003D15F5">
        <w:rPr>
          <w:rFonts w:ascii="Century Gothic" w:eastAsia="Century Gothic" w:hAnsi="Century Gothic" w:cs="Century Gothic"/>
          <w:b/>
          <w:bCs/>
        </w:rPr>
        <w:t>ya hubiere sido admitida</w:t>
      </w:r>
      <w:r w:rsidRPr="003D15F5">
        <w:rPr>
          <w:rFonts w:ascii="Century Gothic" w:eastAsia="Century Gothic" w:hAnsi="Century Gothic" w:cs="Century Gothic"/>
        </w:rPr>
        <w:t>, opera el mandato prohibitivo absoluto contemplado en el último párrafo del artículo 48 de la L</w:t>
      </w:r>
      <w:r>
        <w:rPr>
          <w:rFonts w:ascii="Century Gothic" w:eastAsia="Century Gothic" w:hAnsi="Century Gothic" w:cs="Century Gothic"/>
        </w:rPr>
        <w:t>Amp</w:t>
      </w:r>
      <w:r w:rsidRPr="003D15F5">
        <w:rPr>
          <w:rFonts w:ascii="Century Gothic" w:eastAsia="Century Gothic" w:hAnsi="Century Gothic" w:cs="Century Gothic"/>
        </w:rPr>
        <w:t xml:space="preserve">, </w:t>
      </w:r>
      <w:r>
        <w:rPr>
          <w:rFonts w:ascii="Century Gothic" w:eastAsia="Century Gothic" w:hAnsi="Century Gothic" w:cs="Century Gothic"/>
        </w:rPr>
        <w:t xml:space="preserve">el cual establece que </w:t>
      </w:r>
      <w:r>
        <w:rPr>
          <w:rFonts w:ascii="Century Gothic" w:eastAsia="Century Gothic" w:hAnsi="Century Gothic" w:cs="Century Gothic"/>
          <w:i/>
          <w:iCs/>
        </w:rPr>
        <w:t>“</w:t>
      </w:r>
      <w:r w:rsidRPr="003D15F5">
        <w:rPr>
          <w:rFonts w:ascii="Century Gothic" w:eastAsia="Century Gothic" w:hAnsi="Century Gothic" w:cs="Century Gothic"/>
          <w:i/>
          <w:iCs/>
        </w:rPr>
        <w:t>Admitida la demanda de amparo indirecto ningún órgano jurisdiccional podrá declararse incompetente para conocer del juicio antes de resolver sobre la suspensión definitiva."</w:t>
      </w:r>
    </w:p>
    <w:p w14:paraId="0B9FB8DF" w14:textId="34C64F52" w:rsidR="007E23AF" w:rsidRPr="003D15F5" w:rsidRDefault="003D15F5" w:rsidP="007E23AF">
      <w:pPr>
        <w:spacing w:line="360" w:lineRule="auto"/>
        <w:ind w:firstLine="1418"/>
        <w:jc w:val="both"/>
        <w:rPr>
          <w:rFonts w:ascii="Century Gothic" w:eastAsia="Century Gothic" w:hAnsi="Century Gothic" w:cs="Century Gothic"/>
        </w:rPr>
      </w:pPr>
      <w:r>
        <w:rPr>
          <w:rFonts w:ascii="Century Gothic" w:eastAsia="Century Gothic" w:hAnsi="Century Gothic" w:cs="Century Gothic"/>
        </w:rPr>
        <w:t>Es decir, u</w:t>
      </w:r>
      <w:r w:rsidRPr="003D15F5">
        <w:rPr>
          <w:rFonts w:ascii="Century Gothic" w:eastAsia="Century Gothic" w:hAnsi="Century Gothic" w:cs="Century Gothic"/>
        </w:rPr>
        <w:t xml:space="preserve">na vez que este H. Juzgado de Distrito ha dictado el auto admisorio en el cuaderno principal, </w:t>
      </w:r>
      <w:r w:rsidRPr="003D15F5">
        <w:rPr>
          <w:rFonts w:ascii="Century Gothic" w:eastAsia="Century Gothic" w:hAnsi="Century Gothic" w:cs="Century Gothic"/>
          <w:b/>
          <w:bCs/>
        </w:rPr>
        <w:t>pierde temporalmente la facultad de declinar la competencia del asunto</w:t>
      </w:r>
      <w:r w:rsidRPr="003D15F5">
        <w:rPr>
          <w:rFonts w:ascii="Century Gothic" w:eastAsia="Century Gothic" w:hAnsi="Century Gothic" w:cs="Century Gothic"/>
        </w:rPr>
        <w:t xml:space="preserve"> en favor de otro juzgador</w:t>
      </w:r>
      <w:r>
        <w:rPr>
          <w:rFonts w:ascii="Century Gothic" w:eastAsia="Century Gothic" w:hAnsi="Century Gothic" w:cs="Century Gothic"/>
        </w:rPr>
        <w:t>, por lo que l</w:t>
      </w:r>
      <w:r w:rsidRPr="003D15F5">
        <w:rPr>
          <w:rFonts w:ascii="Century Gothic" w:eastAsia="Century Gothic" w:hAnsi="Century Gothic" w:cs="Century Gothic"/>
        </w:rPr>
        <w:t xml:space="preserve">a competencia del juicio no podrá ser cuestionada ni declinada sino hasta que este órgano jurisdiccional </w:t>
      </w:r>
      <w:r w:rsidRPr="003D15F5">
        <w:rPr>
          <w:rFonts w:ascii="Century Gothic" w:eastAsia="Century Gothic" w:hAnsi="Century Gothic" w:cs="Century Gothic"/>
          <w:b/>
          <w:bCs/>
        </w:rPr>
        <w:t>sustancie el incidente de suspensión por separado y dicte la resolución incidental correspondiente que resuelva sobre la suspensión definitiva</w:t>
      </w:r>
      <w:r w:rsidR="007E23AF" w:rsidRPr="007E23AF">
        <w:rPr>
          <w:rFonts w:ascii="Century Gothic" w:eastAsia="Century Gothic" w:hAnsi="Century Gothic" w:cs="Century Gothic"/>
        </w:rPr>
        <w:t>,</w:t>
      </w:r>
      <w:r w:rsidR="007E23AF">
        <w:rPr>
          <w:rFonts w:ascii="Century Gothic" w:eastAsia="Century Gothic" w:hAnsi="Century Gothic" w:cs="Century Gothic"/>
        </w:rPr>
        <w:t xml:space="preserve"> por lo que</w:t>
      </w:r>
      <w:r w:rsidR="007E23AF" w:rsidRPr="007E23AF">
        <w:rPr>
          <w:rFonts w:ascii="Century Gothic" w:eastAsia="Century Gothic" w:hAnsi="Century Gothic" w:cs="Century Gothic"/>
        </w:rPr>
        <w:t xml:space="preserve"> este H. Juzgado de Distrito debe avocar el conocimiento del incidente de suspensión, celebrar la audiencia incidental y resolver sobre la concesión de la suspensión definitiva con efectos restitutorios de forma previa a cualquier pronunciamiento o acuerdo de incompetencia material, garantizando así la tutela judicial efectiva y la preservación de la materia de la litis constitucional.</w:t>
      </w:r>
    </w:p>
    <w:p w14:paraId="56F17B3E" w14:textId="787BF4F1"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Por lo expuesto, procede otorgar la </w:t>
      </w:r>
      <w:r w:rsidRPr="00A555A1">
        <w:rPr>
          <w:rFonts w:ascii="Century Gothic" w:eastAsia="Century Gothic" w:hAnsi="Century Gothic" w:cs="Century Gothic"/>
          <w:b/>
          <w:bCs/>
        </w:rPr>
        <w:t xml:space="preserve">suspensión </w:t>
      </w:r>
      <w:r w:rsidR="002A5226" w:rsidRPr="00A555A1">
        <w:rPr>
          <w:rFonts w:ascii="Century Gothic" w:eastAsia="Century Gothic" w:hAnsi="Century Gothic" w:cs="Century Gothic"/>
          <w:b/>
          <w:bCs/>
        </w:rPr>
        <w:t>provisional y la definitiva</w:t>
      </w:r>
      <w:r w:rsidRPr="00A555A1">
        <w:rPr>
          <w:rFonts w:ascii="Century Gothic" w:eastAsia="Century Gothic" w:hAnsi="Century Gothic" w:cs="Century Gothic"/>
          <w:b/>
          <w:bCs/>
        </w:rPr>
        <w:t xml:space="preserve"> con efectos restitutorios inmediatos</w:t>
      </w:r>
      <w:r w:rsidRPr="00A555A1">
        <w:rPr>
          <w:rFonts w:ascii="Century Gothic" w:eastAsia="Century Gothic" w:hAnsi="Century Gothic" w:cs="Century Gothic"/>
        </w:rPr>
        <w:t xml:space="preserve">, ordenando a </w:t>
      </w:r>
      <w:r w:rsidR="002A5226" w:rsidRPr="00A555A1">
        <w:rPr>
          <w:rFonts w:ascii="Century Gothic" w:eastAsia="Century Gothic" w:hAnsi="Century Gothic" w:cs="Century Gothic"/>
        </w:rPr>
        <w:t>la concesionaria responsable la</w:t>
      </w:r>
      <w:r w:rsidRPr="00A555A1">
        <w:rPr>
          <w:rFonts w:ascii="Century Gothic" w:eastAsia="Century Gothic" w:hAnsi="Century Gothic" w:cs="Century Gothic"/>
        </w:rPr>
        <w:t xml:space="preserve"> reactivación de mi número celular </w:t>
      </w:r>
      <w:r w:rsidRPr="00435366">
        <w:rPr>
          <w:rFonts w:ascii="Century Gothic" w:eastAsia="Century Gothic" w:hAnsi="Century Gothic" w:cs="Century Gothic"/>
          <w:b/>
          <w:bCs/>
        </w:rPr>
        <w:t>{{NUMERO_TELEFONO}}</w:t>
      </w:r>
      <w:r w:rsidRPr="00A555A1">
        <w:rPr>
          <w:rFonts w:ascii="Century Gothic" w:eastAsia="Century Gothic" w:hAnsi="Century Gothic" w:cs="Century Gothic"/>
        </w:rPr>
        <w:t xml:space="preserve"> </w:t>
      </w:r>
      <w:r w:rsidR="00492947" w:rsidRPr="00492947">
        <w:rPr>
          <w:rFonts w:ascii="Century Gothic" w:eastAsia="Century Gothic" w:hAnsi="Century Gothic" w:cs="Century Gothic"/>
        </w:rPr>
        <w:t>eximiéndome de la obligación de entregar datos personales, identificación oficial y biometría</w:t>
      </w:r>
      <w:r w:rsidR="002912B2" w:rsidRPr="00A555A1">
        <w:rPr>
          <w:rFonts w:ascii="Century Gothic" w:eastAsia="Century Gothic" w:hAnsi="Century Gothic" w:cs="Century Gothic"/>
        </w:rPr>
        <w:t xml:space="preserve"> ("Prueba de vida")</w:t>
      </w:r>
      <w:r w:rsidRPr="00A555A1">
        <w:rPr>
          <w:rFonts w:ascii="Century Gothic" w:eastAsia="Century Gothic" w:hAnsi="Century Gothic" w:cs="Century Gothic"/>
        </w:rPr>
        <w:t xml:space="preserve">. De igual manera, de conformidad con el artículo 132 de la Ley de Amparo, solicito se me exima de exhibir garantía </w:t>
      </w:r>
      <w:r w:rsidRPr="00A555A1">
        <w:rPr>
          <w:rFonts w:ascii="Century Gothic" w:eastAsia="Century Gothic" w:hAnsi="Century Gothic" w:cs="Century Gothic"/>
        </w:rPr>
        <w:lastRenderedPageBreak/>
        <w:t>alguna, en virtud de que la suspensión de este acto no ocasiona daños ni perjuicios estimables en dinero a la autoridad ni a terceros.</w:t>
      </w:r>
    </w:p>
    <w:p w14:paraId="0911DDA2"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Para acreditar los extremos de mi pretensión, la titularidad de mis derechos, así como la existencia y ejecución del acto reclamado, ofrezco desde este momento los siguientes medios de convicción:</w:t>
      </w:r>
    </w:p>
    <w:p w14:paraId="0D7036BE" w14:textId="77777777" w:rsidR="00001DF2" w:rsidRPr="00A555A1" w:rsidRDefault="00001DF2">
      <w:pPr>
        <w:spacing w:line="360" w:lineRule="auto"/>
        <w:jc w:val="both"/>
        <w:rPr>
          <w:rFonts w:ascii="Century Gothic" w:eastAsia="Century Gothic" w:hAnsi="Century Gothic" w:cs="Century Gothic"/>
          <w:b/>
          <w:bCs/>
        </w:rPr>
      </w:pPr>
    </w:p>
    <w:p w14:paraId="24F0D4EB" w14:textId="77777777" w:rsidR="00001DF2" w:rsidRPr="00A555A1" w:rsidRDefault="00000000">
      <w:pPr>
        <w:spacing w:line="360" w:lineRule="auto"/>
        <w:jc w:val="center"/>
        <w:rPr>
          <w:rFonts w:ascii="Century Gothic" w:eastAsia="Century Gothic" w:hAnsi="Century Gothic" w:cs="Century Gothic"/>
        </w:rPr>
      </w:pPr>
      <w:r w:rsidRPr="00A555A1">
        <w:rPr>
          <w:rFonts w:ascii="Century Gothic" w:eastAsia="Century Gothic" w:hAnsi="Century Gothic" w:cs="Century Gothic"/>
          <w:b/>
          <w:bCs/>
        </w:rPr>
        <w:t>PRUEBAS:</w:t>
      </w:r>
    </w:p>
    <w:p w14:paraId="0480B982" w14:textId="4F283DA0" w:rsidR="00DE3BA9" w:rsidRDefault="00DE3BA9" w:rsidP="00DE3BA9">
      <w:pPr>
        <w:spacing w:line="360" w:lineRule="auto"/>
        <w:ind w:firstLine="1418"/>
        <w:jc w:val="both"/>
        <w:rPr>
          <w:rFonts w:ascii="Century Gothic" w:eastAsia="Century Gothic" w:hAnsi="Century Gothic" w:cs="Century Gothic"/>
        </w:rPr>
      </w:pPr>
      <w:r>
        <w:rPr>
          <w:rFonts w:ascii="Century Gothic" w:eastAsia="Century Gothic" w:hAnsi="Century Gothic" w:cs="Century Gothic"/>
          <w:b/>
          <w:bCs/>
        </w:rPr>
        <w:t xml:space="preserve">1. </w:t>
      </w:r>
      <w:r w:rsidRPr="00A555A1">
        <w:rPr>
          <w:rFonts w:ascii="Century Gothic" w:eastAsia="Century Gothic" w:hAnsi="Century Gothic" w:cs="Century Gothic"/>
          <w:b/>
          <w:bCs/>
        </w:rPr>
        <w:t>DOCUMENTAL PRIVADA</w:t>
      </w:r>
      <w:r w:rsidRPr="00A555A1">
        <w:rPr>
          <w:rFonts w:ascii="Century Gothic" w:eastAsia="Century Gothic" w:hAnsi="Century Gothic" w:cs="Century Gothic"/>
        </w:rPr>
        <w:t xml:space="preserve">, consistente en copia del contrato de prestación de servicios, </w:t>
      </w:r>
      <w:r w:rsidR="00BA1BA7" w:rsidRPr="00A555A1">
        <w:rPr>
          <w:rFonts w:ascii="Century Gothic" w:eastAsia="Century Gothic" w:hAnsi="Century Gothic" w:cs="Century Gothic"/>
        </w:rPr>
        <w:t xml:space="preserve">impresión </w:t>
      </w:r>
      <w:r w:rsidR="002912B2" w:rsidRPr="00A555A1">
        <w:rPr>
          <w:rFonts w:ascii="Century Gothic" w:eastAsia="Century Gothic" w:hAnsi="Century Gothic" w:cs="Century Gothic"/>
        </w:rPr>
        <w:t>(captura de pantalla)</w:t>
      </w:r>
      <w:r w:rsidRPr="00A555A1">
        <w:rPr>
          <w:rFonts w:ascii="Century Gothic" w:eastAsia="Century Gothic" w:hAnsi="Century Gothic" w:cs="Century Gothic"/>
        </w:rPr>
        <w:t xml:space="preserve">, recibo de pago o estado de cuenta emitido por </w:t>
      </w:r>
      <w:r w:rsidR="00BA1BA7" w:rsidRPr="00435366">
        <w:rPr>
          <w:rFonts w:ascii="Century Gothic" w:eastAsia="Century Gothic" w:hAnsi="Century Gothic" w:cs="Century Gothic"/>
          <w:b/>
          <w:bCs/>
        </w:rPr>
        <w:t>{{CONCESIONARIA}}</w:t>
      </w:r>
      <w:r w:rsidRPr="00A555A1">
        <w:rPr>
          <w:rFonts w:ascii="Century Gothic" w:eastAsia="Century Gothic" w:hAnsi="Century Gothic" w:cs="Century Gothic"/>
        </w:rPr>
        <w:t xml:space="preserve">, </w:t>
      </w:r>
      <w:r w:rsidR="00BA1BA7" w:rsidRPr="00A555A1">
        <w:rPr>
          <w:rFonts w:ascii="Century Gothic" w:eastAsia="Century Gothic" w:hAnsi="Century Gothic" w:cs="Century Gothic"/>
        </w:rPr>
        <w:t xml:space="preserve">del teléfono </w:t>
      </w:r>
      <w:r w:rsidR="002912B2" w:rsidRPr="00435366">
        <w:rPr>
          <w:rFonts w:ascii="Century Gothic" w:eastAsia="Century Gothic" w:hAnsi="Century Gothic" w:cs="Century Gothic"/>
          <w:b/>
          <w:bCs/>
        </w:rPr>
        <w:t>{{NUMERO_TELEFONO}}</w:t>
      </w:r>
      <w:r w:rsidR="00BA1BA7" w:rsidRPr="00A555A1">
        <w:rPr>
          <w:rFonts w:ascii="Century Gothic" w:eastAsia="Century Gothic" w:hAnsi="Century Gothic" w:cs="Century Gothic"/>
        </w:rPr>
        <w:t xml:space="preserve"> </w:t>
      </w:r>
      <w:r w:rsidRPr="00A555A1">
        <w:rPr>
          <w:rFonts w:ascii="Century Gothic" w:eastAsia="Century Gothic" w:hAnsi="Century Gothic" w:cs="Century Gothic"/>
        </w:rPr>
        <w:t>de</w:t>
      </w:r>
      <w:r w:rsidR="00175C2F">
        <w:rPr>
          <w:rFonts w:ascii="Century Gothic" w:eastAsia="Century Gothic" w:hAnsi="Century Gothic" w:cs="Century Gothic"/>
        </w:rPr>
        <w:t xml:space="preserve"> la suscrita persona quejosa</w:t>
      </w:r>
      <w:r w:rsidRPr="00A555A1">
        <w:rPr>
          <w:rFonts w:ascii="Century Gothic" w:eastAsia="Century Gothic" w:hAnsi="Century Gothic" w:cs="Century Gothic"/>
        </w:rPr>
        <w:t xml:space="preserve">. Con esta probanza se acredita plenamente mi interés suspensional y jurídico, al demostrar que soy el usuario final y titular legítimo de la línea de telefonía móvil </w:t>
      </w:r>
      <w:r w:rsidR="002912B2" w:rsidRPr="00A555A1">
        <w:rPr>
          <w:rFonts w:ascii="Century Gothic" w:eastAsia="Century Gothic" w:hAnsi="Century Gothic" w:cs="Century Gothic"/>
        </w:rPr>
        <w:t>citada.</w:t>
      </w:r>
    </w:p>
    <w:p w14:paraId="1E207D6B" w14:textId="77777777" w:rsidR="003F671E" w:rsidRDefault="00DE3BA9" w:rsidP="00976050">
      <w:pPr>
        <w:spacing w:line="360" w:lineRule="auto"/>
        <w:ind w:firstLine="1418"/>
        <w:jc w:val="both"/>
        <w:rPr>
          <w:rFonts w:ascii="Century Gothic" w:eastAsia="Century Gothic" w:hAnsi="Century Gothic" w:cs="Century Gothic"/>
        </w:rPr>
      </w:pPr>
      <w:r w:rsidRPr="00DE3BA9">
        <w:rPr>
          <w:rFonts w:ascii="Century Gothic" w:eastAsia="Century Gothic" w:hAnsi="Century Gothic" w:cs="Century Gothic"/>
          <w:b/>
          <w:bCs/>
        </w:rPr>
        <w:t>2.</w:t>
      </w:r>
      <w:r>
        <w:rPr>
          <w:rFonts w:ascii="Century Gothic" w:eastAsia="Century Gothic" w:hAnsi="Century Gothic" w:cs="Century Gothic"/>
        </w:rPr>
        <w:t xml:space="preserve"> </w:t>
      </w:r>
      <w:r w:rsidRPr="00A555A1">
        <w:rPr>
          <w:rFonts w:ascii="Century Gothic" w:eastAsia="Century Gothic" w:hAnsi="Century Gothic" w:cs="Century Gothic"/>
          <w:b/>
          <w:bCs/>
        </w:rPr>
        <w:t>DOCUMENTAL PRIVADA</w:t>
      </w:r>
      <w:r w:rsidRPr="00A555A1">
        <w:rPr>
          <w:rFonts w:ascii="Century Gothic" w:eastAsia="Century Gothic" w:hAnsi="Century Gothic" w:cs="Century Gothic"/>
        </w:rPr>
        <w:t>, consistente en impresiones (capturas de pantalla) obtenidas de mi dispositivo móvil, en las que se aprecia de manera objetiva el corte, suspensión o limitación de los servicios de telecomunicaciones ("Solo llamadas de emergencia" / mensajes de SMS exigiendo el registro), así como la exigencia por parte de la concesionaria de ingresar al portal para la captura de identidad. Prueba que se relaciona con todos y cada uno de los hechos de la demanda para acreditar la inminencia y ejecución del acto reclamado.</w:t>
      </w:r>
    </w:p>
    <w:p w14:paraId="44EBA688" w14:textId="2EDAAE3E" w:rsidR="003F671E" w:rsidRDefault="00E309B9" w:rsidP="00976050">
      <w:pPr>
        <w:spacing w:line="360" w:lineRule="auto"/>
        <w:ind w:firstLine="1418"/>
        <w:jc w:val="both"/>
        <w:rPr>
          <w:rFonts w:ascii="Century Gothic" w:eastAsia="Century Gothic" w:hAnsi="Century Gothic" w:cs="Century Gothic"/>
        </w:rPr>
      </w:pPr>
      <w:r w:rsidRPr="00E309B9">
        <w:rPr>
          <w:rFonts w:ascii="Century Gothic" w:eastAsia="Century Gothic" w:hAnsi="Century Gothic" w:cs="Century Gothic"/>
          <w:bCs/>
        </w:rPr>
        <w:t>{{</w:t>
      </w:r>
      <w:r w:rsidR="00DE0684" w:rsidRPr="00E309B9">
        <w:rPr>
          <w:rFonts w:ascii="Century Gothic" w:eastAsia="Century Gothic" w:hAnsi="Century Gothic" w:cs="Century Gothic"/>
          <w:bCs/>
        </w:rPr>
        <w:t>INICIA_RELACION_CONCEPTO_SEXTO</w:t>
      </w:r>
      <w:r w:rsidRPr="00E309B9">
        <w:rPr>
          <w:rFonts w:ascii="Century Gothic" w:eastAsia="Century Gothic" w:hAnsi="Century Gothic" w:cs="Century Gothic"/>
          <w:bCs/>
        </w:rPr>
        <w:t>}}</w:t>
      </w:r>
      <w:r w:rsidR="00DE3BA9">
        <w:rPr>
          <w:rFonts w:ascii="Century Gothic" w:eastAsia="Century Gothic" w:hAnsi="Century Gothic" w:cs="Century Gothic"/>
          <w:b/>
          <w:bCs/>
        </w:rPr>
        <w:t>3.</w:t>
      </w:r>
      <w:r w:rsidR="00DE0684">
        <w:rPr>
          <w:rFonts w:ascii="Century Gothic" w:eastAsia="Century Gothic" w:hAnsi="Century Gothic" w:cs="Century Gothic"/>
          <w:b/>
          <w:bCs/>
        </w:rPr>
        <w:t xml:space="preserve"> </w:t>
      </w:r>
      <w:r w:rsidR="00DE0684" w:rsidRPr="00A555A1">
        <w:rPr>
          <w:rFonts w:ascii="Century Gothic" w:eastAsia="Century Gothic" w:hAnsi="Century Gothic" w:cs="Century Gothic"/>
          <w:b/>
          <w:bCs/>
        </w:rPr>
        <w:t>DOCUMENTAL PRIVADA</w:t>
      </w:r>
      <w:r w:rsidR="00DE0684" w:rsidRPr="00A555A1">
        <w:rPr>
          <w:rFonts w:ascii="Century Gothic" w:eastAsia="Century Gothic" w:hAnsi="Century Gothic" w:cs="Century Gothic"/>
        </w:rPr>
        <w:t>, consistente en capturas de pantalla de la aplicación de banca móvil del</w:t>
      </w:r>
      <w:r w:rsidR="00391B42">
        <w:rPr>
          <w:rFonts w:ascii="Century Gothic" w:eastAsia="Century Gothic" w:hAnsi="Century Gothic" w:cs="Century Gothic"/>
        </w:rPr>
        <w:t xml:space="preserve"> banco</w:t>
      </w:r>
      <w:r w:rsidR="00DE0684" w:rsidRPr="00A555A1">
        <w:rPr>
          <w:rFonts w:ascii="Century Gothic" w:eastAsia="Century Gothic" w:hAnsi="Century Gothic" w:cs="Century Gothic"/>
        </w:rPr>
        <w:t xml:space="preserve"> </w:t>
      </w:r>
      <w:r w:rsidR="00DE0684" w:rsidRPr="00435366">
        <w:rPr>
          <w:rFonts w:ascii="Century Gothic" w:eastAsia="Century Gothic" w:hAnsi="Century Gothic" w:cs="Century Gothic"/>
          <w:b/>
          <w:bCs/>
        </w:rPr>
        <w:t>{{BANCO}}</w:t>
      </w:r>
      <w:r w:rsidR="00DE0684" w:rsidRPr="00A555A1">
        <w:rPr>
          <w:rFonts w:ascii="Century Gothic" w:eastAsia="Century Gothic" w:hAnsi="Century Gothic" w:cs="Century Gothic"/>
        </w:rPr>
        <w:t xml:space="preserve"> y/o estado de cuenta bancario, donde se aprecia que el número celular </w:t>
      </w:r>
      <w:r w:rsidR="00DE0684" w:rsidRPr="00435366">
        <w:rPr>
          <w:rFonts w:ascii="Century Gothic" w:eastAsia="Century Gothic" w:hAnsi="Century Gothic" w:cs="Century Gothic"/>
          <w:b/>
          <w:bCs/>
        </w:rPr>
        <w:t>{{NUMERO_TELEFONO}}</w:t>
      </w:r>
      <w:r w:rsidR="00DE0684" w:rsidRPr="00A555A1">
        <w:rPr>
          <w:rFonts w:ascii="Century Gothic" w:eastAsia="Century Gothic" w:hAnsi="Century Gothic" w:cs="Century Gothic"/>
        </w:rPr>
        <w:t xml:space="preserve"> se encuentra registrado como el dispositivo de seguridad, token móvil o medio de contacto oficial para la recepción de alertas, operaciones y acceso a mi patrimonio</w:t>
      </w:r>
      <w:r w:rsidR="008742F1">
        <w:rPr>
          <w:rFonts w:ascii="Century Gothic" w:eastAsia="Century Gothic" w:hAnsi="Century Gothic" w:cs="Century Gothic"/>
        </w:rPr>
        <w:t xml:space="preserve">, así como el nivel </w:t>
      </w:r>
      <w:r w:rsidR="008742F1" w:rsidRPr="008742F1">
        <w:rPr>
          <w:rFonts w:ascii="Century Gothic" w:eastAsia="Century Gothic" w:hAnsi="Century Gothic" w:cs="Century Gothic"/>
          <w:b/>
          <w:bCs/>
        </w:rPr>
        <w:t>{{TIPO_CUENTA}}</w:t>
      </w:r>
      <w:r w:rsidR="008742F1">
        <w:rPr>
          <w:rFonts w:ascii="Century Gothic" w:eastAsia="Century Gothic" w:hAnsi="Century Gothic" w:cs="Century Gothic"/>
        </w:rPr>
        <w:t xml:space="preserve"> de la cuenta</w:t>
      </w:r>
      <w:r w:rsidR="002912B2" w:rsidRPr="00A555A1">
        <w:rPr>
          <w:rFonts w:ascii="Century Gothic" w:eastAsia="Century Gothic" w:hAnsi="Century Gothic" w:cs="Century Gothic"/>
        </w:rPr>
        <w:t>.</w:t>
      </w:r>
      <w:r w:rsidR="00DE0684" w:rsidRPr="00A555A1">
        <w:rPr>
          <w:rFonts w:ascii="Century Gothic" w:eastAsia="Century Gothic" w:hAnsi="Century Gothic" w:cs="Century Gothic"/>
        </w:rPr>
        <w:t xml:space="preserve"> Con esta prueba se acredita el peligro en la demora, la afectación directa a mi derecho humano a la inclusión financiera y el daño inminente a mi proyecto de vida.</w:t>
      </w:r>
      <w:r w:rsidR="00DE0684">
        <w:t xml:space="preserve"> </w:t>
      </w:r>
      <w:r w:rsidR="00DE0684" w:rsidRPr="00DE0684">
        <w:rPr>
          <w:rFonts w:ascii="Century Gothic" w:eastAsia="Century Gothic" w:hAnsi="Century Gothic" w:cs="Century Gothic"/>
        </w:rPr>
        <w:t>{{</w:t>
      </w:r>
      <w:r w:rsidR="00DE0684">
        <w:rPr>
          <w:rFonts w:ascii="Century Gothic" w:eastAsia="Century Gothic" w:hAnsi="Century Gothic" w:cs="Century Gothic"/>
        </w:rPr>
        <w:t>TERMINA</w:t>
      </w:r>
      <w:r w:rsidR="00DE0684" w:rsidRPr="00DE0684">
        <w:rPr>
          <w:rFonts w:ascii="Century Gothic" w:eastAsia="Century Gothic" w:hAnsi="Century Gothic" w:cs="Century Gothic"/>
        </w:rPr>
        <w:t>_RELACION_CONCEPTO_SEXTO}}</w:t>
      </w:r>
    </w:p>
    <w:p w14:paraId="34D5200B" w14:textId="45C22AAA" w:rsidR="00976050" w:rsidRDefault="00976050" w:rsidP="00976050">
      <w:pPr>
        <w:spacing w:line="360" w:lineRule="auto"/>
        <w:ind w:firstLine="1418"/>
        <w:jc w:val="both"/>
        <w:rPr>
          <w:rFonts w:ascii="Century Gothic" w:eastAsia="Century Gothic" w:hAnsi="Century Gothic" w:cs="Century Gothic"/>
        </w:rPr>
      </w:pPr>
      <w:r>
        <w:rPr>
          <w:rFonts w:ascii="Century Gothic" w:eastAsia="Century Gothic" w:hAnsi="Century Gothic" w:cs="Century Gothic"/>
          <w:b/>
          <w:bCs/>
        </w:rPr>
        <w:t xml:space="preserve">4. </w:t>
      </w:r>
      <w:r w:rsidRPr="00A555A1">
        <w:rPr>
          <w:rFonts w:ascii="Century Gothic" w:eastAsia="Century Gothic" w:hAnsi="Century Gothic" w:cs="Century Gothic"/>
          <w:b/>
          <w:bCs/>
        </w:rPr>
        <w:t>PRESUNCIONAL LEGAL Y HUMANA</w:t>
      </w:r>
      <w:r w:rsidRPr="00A555A1">
        <w:rPr>
          <w:rFonts w:ascii="Century Gothic" w:eastAsia="Century Gothic" w:hAnsi="Century Gothic" w:cs="Century Gothic"/>
        </w:rPr>
        <w:t>, en todo lo que beneficie a los intereses de la parte quejosa, derivado de las constancias de autos y del reconocimiento que haga</w:t>
      </w:r>
      <w:r w:rsidR="002912B2" w:rsidRPr="00A555A1">
        <w:rPr>
          <w:rFonts w:ascii="Century Gothic" w:eastAsia="Century Gothic" w:hAnsi="Century Gothic" w:cs="Century Gothic"/>
        </w:rPr>
        <w:t>n</w:t>
      </w:r>
      <w:r w:rsidRPr="00A555A1">
        <w:rPr>
          <w:rFonts w:ascii="Century Gothic" w:eastAsia="Century Gothic" w:hAnsi="Century Gothic" w:cs="Century Gothic"/>
        </w:rPr>
        <w:t xml:space="preserve"> la autoridad</w:t>
      </w:r>
      <w:r w:rsidR="002912B2" w:rsidRPr="00A555A1">
        <w:rPr>
          <w:rFonts w:ascii="Century Gothic" w:eastAsia="Century Gothic" w:hAnsi="Century Gothic" w:cs="Century Gothic"/>
        </w:rPr>
        <w:t>es</w:t>
      </w:r>
      <w:r w:rsidRPr="00A555A1">
        <w:rPr>
          <w:rFonts w:ascii="Century Gothic" w:eastAsia="Century Gothic" w:hAnsi="Century Gothic" w:cs="Century Gothic"/>
        </w:rPr>
        <w:t xml:space="preserve"> responsable</w:t>
      </w:r>
      <w:r w:rsidR="002912B2" w:rsidRPr="00A555A1">
        <w:rPr>
          <w:rFonts w:ascii="Century Gothic" w:eastAsia="Century Gothic" w:hAnsi="Century Gothic" w:cs="Century Gothic"/>
        </w:rPr>
        <w:t>s</w:t>
      </w:r>
      <w:r w:rsidRPr="00A555A1">
        <w:rPr>
          <w:rFonts w:ascii="Century Gothic" w:eastAsia="Century Gothic" w:hAnsi="Century Gothic" w:cs="Century Gothic"/>
        </w:rPr>
        <w:t xml:space="preserve"> al rendir sus informes.</w:t>
      </w:r>
    </w:p>
    <w:p w14:paraId="74A32436" w14:textId="4620363D" w:rsidR="00001DF2" w:rsidRPr="00A555A1" w:rsidRDefault="00976050" w:rsidP="00976050">
      <w:pPr>
        <w:spacing w:line="360" w:lineRule="auto"/>
        <w:ind w:firstLine="1418"/>
        <w:jc w:val="both"/>
        <w:rPr>
          <w:rFonts w:ascii="Century Gothic" w:eastAsia="Century Gothic" w:hAnsi="Century Gothic" w:cs="Century Gothic"/>
        </w:rPr>
      </w:pPr>
      <w:r w:rsidRPr="00976050">
        <w:rPr>
          <w:rFonts w:ascii="Century Gothic" w:eastAsia="Century Gothic" w:hAnsi="Century Gothic" w:cs="Century Gothic"/>
          <w:b/>
          <w:bCs/>
        </w:rPr>
        <w:lastRenderedPageBreak/>
        <w:t xml:space="preserve">5. </w:t>
      </w:r>
      <w:r w:rsidRPr="00A555A1">
        <w:rPr>
          <w:rFonts w:ascii="Century Gothic" w:eastAsia="Century Gothic" w:hAnsi="Century Gothic" w:cs="Century Gothic"/>
          <w:b/>
          <w:bCs/>
        </w:rPr>
        <w:t>INSTRUMENTAL DE ACTUACIONES</w:t>
      </w:r>
      <w:r w:rsidRPr="00A555A1">
        <w:rPr>
          <w:rFonts w:ascii="Century Gothic" w:eastAsia="Century Gothic" w:hAnsi="Century Gothic" w:cs="Century Gothic"/>
        </w:rPr>
        <w:t>, consistente en todas y cada una de las actuaciones procesales y documentos que integren el presente expediente de amparo, en cuanto favorezcan a mis pretensiones, con especial énfasis en el precedente de la SCJN invocado en el cuerpo de este escrito.</w:t>
      </w:r>
    </w:p>
    <w:p w14:paraId="31B12E38"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rPr>
        <w:t xml:space="preserve">Por lo expuesto y fundado, a Usted </w:t>
      </w:r>
      <w:r w:rsidRPr="00A555A1">
        <w:rPr>
          <w:rFonts w:ascii="Century Gothic" w:eastAsia="Century Gothic" w:hAnsi="Century Gothic" w:cs="Century Gothic"/>
          <w:b/>
          <w:bCs/>
        </w:rPr>
        <w:t>C. JUEZ(A) DE DISTRITO</w:t>
      </w:r>
      <w:r w:rsidRPr="00A555A1">
        <w:rPr>
          <w:rFonts w:ascii="Century Gothic" w:eastAsia="Century Gothic" w:hAnsi="Century Gothic" w:cs="Century Gothic"/>
        </w:rPr>
        <w:t>, atentamente,</w:t>
      </w:r>
    </w:p>
    <w:p w14:paraId="7546E4E5" w14:textId="77777777" w:rsidR="00001DF2" w:rsidRPr="00A555A1" w:rsidRDefault="00001DF2">
      <w:pPr>
        <w:spacing w:line="360" w:lineRule="auto"/>
        <w:ind w:firstLine="1418"/>
        <w:jc w:val="both"/>
        <w:rPr>
          <w:rFonts w:ascii="Century Gothic" w:eastAsia="Century Gothic" w:hAnsi="Century Gothic" w:cs="Century Gothic"/>
        </w:rPr>
      </w:pPr>
    </w:p>
    <w:p w14:paraId="3BC81B21" w14:textId="77777777" w:rsidR="00001DF2" w:rsidRPr="00A555A1" w:rsidRDefault="00000000">
      <w:pPr>
        <w:spacing w:line="360" w:lineRule="auto"/>
        <w:jc w:val="center"/>
        <w:rPr>
          <w:rFonts w:ascii="Century Gothic" w:eastAsia="Century Gothic" w:hAnsi="Century Gothic" w:cs="Century Gothic"/>
          <w:b/>
          <w:bCs/>
        </w:rPr>
      </w:pPr>
      <w:r w:rsidRPr="00A555A1">
        <w:rPr>
          <w:rFonts w:ascii="Century Gothic" w:eastAsia="Century Gothic" w:hAnsi="Century Gothic" w:cs="Century Gothic"/>
          <w:b/>
          <w:bCs/>
        </w:rPr>
        <w:t>PIDO:</w:t>
      </w:r>
    </w:p>
    <w:p w14:paraId="2DD2A91E" w14:textId="77777777" w:rsidR="009564D9"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b/>
          <w:bCs/>
        </w:rPr>
        <w:t>PRIMERO.</w:t>
      </w:r>
      <w:r w:rsidRPr="00A555A1">
        <w:rPr>
          <w:rFonts w:ascii="Century Gothic" w:eastAsia="Century Gothic" w:hAnsi="Century Gothic" w:cs="Century Gothic"/>
        </w:rPr>
        <w:t xml:space="preserve"> </w:t>
      </w:r>
      <w:r w:rsidR="009564D9">
        <w:rPr>
          <w:rFonts w:ascii="Century Gothic" w:eastAsia="Century Gothic" w:hAnsi="Century Gothic" w:cs="Century Gothic"/>
        </w:rPr>
        <w:t>Tener por presentada en tiempo y forma, la demanda de amparo contra el acto y autoridades señaladas.</w:t>
      </w:r>
    </w:p>
    <w:p w14:paraId="65478EE5" w14:textId="0B35E659"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b/>
          <w:bCs/>
        </w:rPr>
        <w:t>SEGUNDO.</w:t>
      </w:r>
      <w:r w:rsidRPr="00A555A1">
        <w:rPr>
          <w:rFonts w:ascii="Century Gothic" w:eastAsia="Century Gothic" w:hAnsi="Century Gothic" w:cs="Century Gothic"/>
        </w:rPr>
        <w:t xml:space="preserve"> Admitir la demanda a trámite, solicitar el informe justificado a la(s) autoridad(es) responsable(s) y correr traslado a las partes.</w:t>
      </w:r>
    </w:p>
    <w:p w14:paraId="0541C694"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b/>
          <w:bCs/>
        </w:rPr>
        <w:t>TERCERO.</w:t>
      </w:r>
      <w:r w:rsidRPr="00A555A1">
        <w:rPr>
          <w:rFonts w:ascii="Century Gothic" w:eastAsia="Century Gothic" w:hAnsi="Century Gothic" w:cs="Century Gothic"/>
        </w:rPr>
        <w:t xml:space="preserve"> Concederme la suspensión provisional y, en su momento, la definitiva del acto reclamado, en los términos solicitados.</w:t>
      </w:r>
    </w:p>
    <w:p w14:paraId="476BD802" w14:textId="77777777"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b/>
          <w:bCs/>
        </w:rPr>
        <w:t>CUARTO.</w:t>
      </w:r>
      <w:r w:rsidRPr="00A555A1">
        <w:rPr>
          <w:rFonts w:ascii="Century Gothic" w:eastAsia="Century Gothic" w:hAnsi="Century Gothic" w:cs="Century Gothic"/>
        </w:rPr>
        <w:t xml:space="preserve"> Tener por ofrecidas las pruebas de mi parte y ordenar su debido desahogo.</w:t>
      </w:r>
    </w:p>
    <w:p w14:paraId="0F4AA011" w14:textId="635BA68D" w:rsidR="00001DF2" w:rsidRPr="00A555A1" w:rsidRDefault="00000000">
      <w:pPr>
        <w:spacing w:line="360" w:lineRule="auto"/>
        <w:ind w:firstLine="1418"/>
        <w:jc w:val="both"/>
        <w:rPr>
          <w:rFonts w:ascii="Century Gothic" w:eastAsia="Century Gothic" w:hAnsi="Century Gothic" w:cs="Century Gothic"/>
        </w:rPr>
      </w:pPr>
      <w:r w:rsidRPr="00A555A1">
        <w:rPr>
          <w:rFonts w:ascii="Century Gothic" w:eastAsia="Century Gothic" w:hAnsi="Century Gothic" w:cs="Century Gothic"/>
          <w:b/>
          <w:bCs/>
        </w:rPr>
        <w:t>QUINTO.</w:t>
      </w:r>
      <w:r w:rsidRPr="00A555A1">
        <w:rPr>
          <w:rFonts w:ascii="Century Gothic" w:eastAsia="Century Gothic" w:hAnsi="Century Gothic" w:cs="Century Gothic"/>
        </w:rPr>
        <w:t xml:space="preserve"> Previo los trámites de ley, dictar sentencia en la que se me conceda el </w:t>
      </w:r>
      <w:r w:rsidR="004F3C91" w:rsidRPr="00A555A1">
        <w:rPr>
          <w:rFonts w:ascii="Century Gothic" w:eastAsia="Century Gothic" w:hAnsi="Century Gothic" w:cs="Century Gothic"/>
        </w:rPr>
        <w:t>amparo</w:t>
      </w:r>
      <w:r w:rsidRPr="00A555A1">
        <w:rPr>
          <w:rFonts w:ascii="Century Gothic" w:eastAsia="Century Gothic" w:hAnsi="Century Gothic" w:cs="Century Gothic"/>
        </w:rPr>
        <w:t xml:space="preserve"> de la Justicia Federal.</w:t>
      </w:r>
    </w:p>
    <w:p w14:paraId="3CEB6FC3" w14:textId="77777777" w:rsidR="00001DF2" w:rsidRPr="00A555A1" w:rsidRDefault="00001DF2">
      <w:pPr>
        <w:spacing w:line="360" w:lineRule="auto"/>
        <w:ind w:firstLine="1418"/>
        <w:jc w:val="both"/>
        <w:rPr>
          <w:rFonts w:ascii="Century Gothic" w:eastAsia="Century Gothic" w:hAnsi="Century Gothic" w:cs="Century Gothic"/>
        </w:rPr>
      </w:pPr>
    </w:p>
    <w:p w14:paraId="2F2B5F89" w14:textId="77777777" w:rsidR="00001DF2" w:rsidRPr="00A555A1" w:rsidRDefault="00000000">
      <w:pPr>
        <w:spacing w:line="360" w:lineRule="auto"/>
        <w:jc w:val="center"/>
        <w:rPr>
          <w:rFonts w:ascii="Century Gothic" w:eastAsia="Century Gothic" w:hAnsi="Century Gothic" w:cs="Century Gothic"/>
        </w:rPr>
      </w:pPr>
      <w:r w:rsidRPr="00A555A1">
        <w:rPr>
          <w:rFonts w:ascii="Century Gothic" w:eastAsia="Century Gothic" w:hAnsi="Century Gothic" w:cs="Century Gothic"/>
          <w:b/>
          <w:bCs/>
        </w:rPr>
        <w:t>PROTESTO LO NECESARIO</w:t>
      </w:r>
    </w:p>
    <w:p w14:paraId="2DFCE07D" w14:textId="4D203D6B" w:rsidR="00001DF2" w:rsidRPr="00435366" w:rsidRDefault="00395D93">
      <w:pPr>
        <w:spacing w:line="360" w:lineRule="auto"/>
        <w:jc w:val="center"/>
        <w:rPr>
          <w:rFonts w:ascii="Century Gothic" w:eastAsia="Century Gothic" w:hAnsi="Century Gothic" w:cs="Century Gothic"/>
          <w:b/>
          <w:bCs/>
        </w:rPr>
      </w:pPr>
      <w:r w:rsidRPr="00395D93">
        <w:rPr>
          <w:rFonts w:ascii="Century Gothic" w:eastAsia="Century Gothic" w:hAnsi="Century Gothic" w:cs="Century Gothic"/>
          <w:bCs/>
        </w:rPr>
        <w:t>{{CIUDAD_EDO</w:t>
      </w:r>
      <w:r>
        <w:rPr>
          <w:rFonts w:ascii="Century Gothic" w:eastAsia="Century Gothic" w:hAnsi="Century Gothic" w:cs="Century Gothic"/>
          <w:bCs/>
        </w:rPr>
        <w:t>}</w:t>
      </w:r>
      <w:r w:rsidRPr="00395D93">
        <w:rPr>
          <w:rFonts w:ascii="Century Gothic" w:eastAsia="Century Gothic" w:hAnsi="Century Gothic" w:cs="Century Gothic"/>
          <w:bCs/>
        </w:rPr>
        <w:t>}</w:t>
      </w:r>
      <w:r w:rsidRPr="00A555A1">
        <w:rPr>
          <w:rFonts w:ascii="Century Gothic" w:eastAsia="Century Gothic" w:hAnsi="Century Gothic" w:cs="Century Gothic"/>
        </w:rPr>
        <w:t xml:space="preserve">, a </w:t>
      </w:r>
      <w:r w:rsidRPr="00435366">
        <w:rPr>
          <w:rFonts w:ascii="Century Gothic" w:eastAsia="Century Gothic" w:hAnsi="Century Gothic" w:cs="Century Gothic"/>
          <w:b/>
          <w:bCs/>
        </w:rPr>
        <w:t>{{FECHA_PRESENTACION}}</w:t>
      </w:r>
    </w:p>
    <w:p w14:paraId="1FCF58EB" w14:textId="77777777" w:rsidR="00631BA7" w:rsidRDefault="00631BA7" w:rsidP="00631BA7">
      <w:pPr>
        <w:spacing w:after="0" w:line="360" w:lineRule="auto"/>
        <w:jc w:val="center"/>
        <w:rPr>
          <w:rFonts w:ascii="Century Gothic" w:eastAsia="Century Gothic" w:hAnsi="Century Gothic" w:cs="Century Gothic"/>
          <w:b/>
          <w:bCs/>
        </w:rPr>
      </w:pPr>
    </w:p>
    <w:p w14:paraId="593CED75" w14:textId="13543058" w:rsidR="00001DF2" w:rsidRPr="00A555A1" w:rsidRDefault="00000000" w:rsidP="00631BA7">
      <w:pPr>
        <w:spacing w:after="0" w:line="360" w:lineRule="auto"/>
        <w:jc w:val="center"/>
        <w:rPr>
          <w:rFonts w:ascii="Century Gothic" w:eastAsia="Century Gothic" w:hAnsi="Century Gothic" w:cs="Century Gothic"/>
        </w:rPr>
      </w:pPr>
      <w:r w:rsidRPr="00A555A1">
        <w:rPr>
          <w:rFonts w:ascii="Century Gothic" w:eastAsia="Century Gothic" w:hAnsi="Century Gothic" w:cs="Century Gothic"/>
          <w:b/>
          <w:bCs/>
        </w:rPr>
        <w:t>____________________________________</w:t>
      </w:r>
    </w:p>
    <w:p w14:paraId="13736A9B" w14:textId="77777777" w:rsidR="00621A8C" w:rsidRDefault="00054C41" w:rsidP="00A26F15">
      <w:pPr>
        <w:spacing w:after="0" w:line="360" w:lineRule="auto"/>
        <w:jc w:val="center"/>
        <w:rPr>
          <w:rFonts w:ascii="Century Gothic" w:eastAsia="Century Gothic" w:hAnsi="Century Gothic" w:cs="Century Gothic"/>
          <w:b/>
          <w:bCs/>
        </w:rPr>
      </w:pPr>
      <w:r w:rsidRPr="00054C41">
        <w:rPr>
          <w:rFonts w:ascii="Century Gothic" w:eastAsia="Century Gothic" w:hAnsi="Century Gothic" w:cs="Century Gothic"/>
          <w:b/>
          <w:bCs/>
        </w:rPr>
        <w:t>{{FIRMA_NOMBRE}}</w:t>
      </w:r>
    </w:p>
    <w:p w14:paraId="186DC993" w14:textId="3BF3CFB0" w:rsidR="00001DF2" w:rsidRDefault="00E309B9" w:rsidP="00A26F15">
      <w:pPr>
        <w:spacing w:after="0" w:line="360" w:lineRule="auto"/>
        <w:jc w:val="center"/>
        <w:rPr>
          <w:rFonts w:ascii="Century Gothic" w:eastAsia="Century Gothic" w:hAnsi="Century Gothic" w:cs="Century Gothic"/>
        </w:rPr>
      </w:pPr>
      <w:r w:rsidRPr="00435366">
        <w:rPr>
          <w:rFonts w:ascii="Century Gothic" w:eastAsia="Century Gothic" w:hAnsi="Century Gothic" w:cs="Century Gothic"/>
          <w:bCs/>
          <w:sz w:val="16"/>
          <w:szCs w:val="16"/>
        </w:rPr>
        <w:t>{{</w:t>
      </w:r>
      <w:r w:rsidR="00976050" w:rsidRPr="00435366">
        <w:rPr>
          <w:rFonts w:ascii="Century Gothic" w:eastAsia="Century Gothic" w:hAnsi="Century Gothic" w:cs="Century Gothic"/>
          <w:bCs/>
          <w:sz w:val="16"/>
          <w:szCs w:val="16"/>
        </w:rPr>
        <w:t>INICIA_EN_LINEA</w:t>
      </w:r>
      <w:r w:rsidRPr="00435366">
        <w:rPr>
          <w:rFonts w:ascii="Century Gothic" w:eastAsia="Century Gothic" w:hAnsi="Century Gothic" w:cs="Century Gothic"/>
          <w:bCs/>
          <w:sz w:val="16"/>
          <w:szCs w:val="16"/>
        </w:rPr>
        <w:t>}}</w:t>
      </w:r>
      <w:r w:rsidR="00976050" w:rsidRPr="00976050">
        <w:rPr>
          <w:rFonts w:ascii="Century Gothic" w:eastAsia="Century Gothic" w:hAnsi="Century Gothic" w:cs="Century Gothic"/>
          <w:b/>
          <w:bCs/>
          <w:sz w:val="16"/>
          <w:szCs w:val="16"/>
        </w:rPr>
        <w:t xml:space="preserve">Firmado electrónicamente, con </w:t>
      </w:r>
      <w:r w:rsidR="00976050" w:rsidRPr="00E309B9">
        <w:rPr>
          <w:rFonts w:ascii="Century Gothic" w:eastAsia="Century Gothic" w:hAnsi="Century Gothic" w:cs="Century Gothic"/>
          <w:b/>
          <w:bCs/>
          <w:sz w:val="16"/>
          <w:szCs w:val="16"/>
        </w:rPr>
        <w:t>fundamento en el artículo 3º de la Ley de Amparo</w:t>
      </w:r>
      <w:r>
        <w:rPr>
          <w:rFonts w:ascii="Century Gothic" w:eastAsia="Century Gothic" w:hAnsi="Century Gothic" w:cs="Century Gothic"/>
          <w:b/>
          <w:bCs/>
          <w:sz w:val="16"/>
          <w:szCs w:val="16"/>
        </w:rPr>
        <w:t xml:space="preserve"> </w:t>
      </w:r>
      <w:r w:rsidRPr="00E309B9">
        <w:rPr>
          <w:rFonts w:ascii="Century Gothic" w:eastAsia="Century Gothic" w:hAnsi="Century Gothic" w:cs="Century Gothic"/>
          <w:b/>
          <w:bCs/>
          <w:sz w:val="16"/>
          <w:szCs w:val="16"/>
        </w:rPr>
        <w:t>y el AG-POAJ-006/2026</w:t>
      </w:r>
      <w:r w:rsidRPr="00435366">
        <w:rPr>
          <w:rFonts w:ascii="Century Gothic" w:eastAsia="Century Gothic" w:hAnsi="Century Gothic" w:cs="Century Gothic"/>
          <w:sz w:val="16"/>
          <w:szCs w:val="16"/>
        </w:rPr>
        <w:t>{{</w:t>
      </w:r>
      <w:r w:rsidR="00976050" w:rsidRPr="00435366">
        <w:rPr>
          <w:rFonts w:ascii="Century Gothic" w:eastAsia="Century Gothic" w:hAnsi="Century Gothic" w:cs="Century Gothic"/>
          <w:sz w:val="16"/>
          <w:szCs w:val="16"/>
        </w:rPr>
        <w:t>TERMINA_EN_LINEA</w:t>
      </w:r>
      <w:r w:rsidRPr="00435366">
        <w:rPr>
          <w:rFonts w:ascii="Century Gothic" w:eastAsia="Century Gothic" w:hAnsi="Century Gothic" w:cs="Century Gothic"/>
          <w:sz w:val="16"/>
          <w:szCs w:val="16"/>
        </w:rPr>
        <w:t>}}</w:t>
      </w:r>
    </w:p>
    <w:sectPr w:rsidR="00001DF2">
      <w:footerReference w:type="default" r:id="rId9"/>
      <w:pgSz w:w="12242" w:h="19301"/>
      <w:pgMar w:top="1440" w:right="1440" w:bottom="1440" w:left="1800"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C2208" w14:textId="77777777" w:rsidR="00E51544" w:rsidRDefault="00E51544">
      <w:pPr>
        <w:spacing w:after="0" w:line="240" w:lineRule="auto"/>
      </w:pPr>
      <w:r>
        <w:separator/>
      </w:r>
    </w:p>
  </w:endnote>
  <w:endnote w:type="continuationSeparator" w:id="0">
    <w:p w14:paraId="1CD81B67" w14:textId="77777777" w:rsidR="00E51544" w:rsidRDefault="00E515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embedRegular r:id="rId1" w:fontKey="{198264C1-9D3C-44EB-A1D9-C540084F1160}"/>
  </w:font>
  <w:font w:name="Century Gothic">
    <w:panose1 w:val="020B0502020202020204"/>
    <w:charset w:val="00"/>
    <w:family w:val="swiss"/>
    <w:pitch w:val="variable"/>
    <w:sig w:usb0="00000287" w:usb1="00000000" w:usb2="00000000" w:usb3="00000000" w:csb0="0000009F" w:csb1="00000000"/>
    <w:embedRegular r:id="rId2" w:fontKey="{A6988332-B875-48A2-B742-D9E2DC210A9A}"/>
    <w:embedBold r:id="rId3" w:fontKey="{B54B76CB-4153-4276-B877-7F6CF7977E86}"/>
    <w:embedItalic r:id="rId4" w:fontKey="{CD546765-56AC-498B-9120-89F005090EFD}"/>
    <w:embedBoldItalic r:id="rId5" w:fontKey="{A120BEA8-7972-43C1-82AB-BB599CBE0813}"/>
  </w:font>
  <w:font w:name="Aptos">
    <w:charset w:val="00"/>
    <w:family w:val="swiss"/>
    <w:pitch w:val="variable"/>
    <w:sig w:usb0="20000287" w:usb1="00000003" w:usb2="00000000" w:usb3="00000000" w:csb0="0000019F" w:csb1="00000000"/>
    <w:embedRegular r:id="rId6" w:fontKey="{707AAE11-6BC8-4331-B699-D0714D4B7826}"/>
    <w:embedBold r:id="rId7" w:fontKey="{AA96EDF6-76E8-46D8-AC88-C5DF3FDED76E}"/>
    <w:embedItalic r:id="rId8" w:fontKey="{307256B6-5801-43E9-BCFD-F5A2C0536421}"/>
  </w:font>
  <w:font w:name="Play">
    <w:charset w:val="00"/>
    <w:family w:val="auto"/>
    <w:pitch w:val="default"/>
    <w:embedRegular r:id="rId9" w:fontKey="{A72FBE97-8B4B-486D-946D-CE3875E71C8F}"/>
  </w:font>
  <w:font w:name="Aptos Narrow">
    <w:charset w:val="00"/>
    <w:family w:val="swiss"/>
    <w:pitch w:val="variable"/>
    <w:sig w:usb0="20000287" w:usb1="00000003" w:usb2="00000000" w:usb3="00000000" w:csb0="0000019F" w:csb1="00000000"/>
    <w:embedRegular r:id="rId10" w:fontKey="{0DEEE3A6-0BBA-41C0-B182-D822FA700D25}"/>
    <w:embedBold r:id="rId11" w:fontKey="{83538F2C-3B4C-47B0-9869-7CD1D0A6B2E0}"/>
    <w:embedItalic r:id="rId12" w:fontKey="{A3CDC252-655F-4E59-A8A7-32081AF25D73}"/>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3" w:fontKey="{A738CF6C-CDD2-490D-AB59-ACD94E499FFD}"/>
  </w:font>
  <w:font w:name="Cambria">
    <w:panose1 w:val="02040503050406030204"/>
    <w:charset w:val="00"/>
    <w:family w:val="roman"/>
    <w:pitch w:val="variable"/>
    <w:sig w:usb0="E00006FF" w:usb1="420024FF" w:usb2="02000000" w:usb3="00000000" w:csb0="0000019F" w:csb1="00000000"/>
    <w:embedRegular r:id="rId14" w:fontKey="{9545E684-E53E-46B1-8A40-1CF83A88D71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2EB33" w14:textId="77777777" w:rsidR="00001DF2" w:rsidRDefault="00000000">
    <w:pPr>
      <w:pBdr>
        <w:top w:val="nil"/>
        <w:left w:val="nil"/>
        <w:bottom w:val="nil"/>
        <w:right w:val="nil"/>
        <w:between w:val="nil"/>
      </w:pBdr>
      <w:tabs>
        <w:tab w:val="center" w:pos="4419"/>
        <w:tab w:val="right" w:pos="8838"/>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4E4AD3">
      <w:rPr>
        <w:noProof/>
        <w:color w:val="000000"/>
      </w:rPr>
      <w:t>1</w:t>
    </w:r>
    <w:r>
      <w:rPr>
        <w:color w:val="000000"/>
      </w:rPr>
      <w:fldChar w:fldCharType="end"/>
    </w:r>
  </w:p>
  <w:p w14:paraId="2DB5C790" w14:textId="77777777" w:rsidR="00001DF2" w:rsidRDefault="00001DF2">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306AE2" w14:textId="77777777" w:rsidR="00E51544" w:rsidRDefault="00E51544">
      <w:pPr>
        <w:spacing w:after="0" w:line="240" w:lineRule="auto"/>
      </w:pPr>
      <w:r>
        <w:separator/>
      </w:r>
    </w:p>
  </w:footnote>
  <w:footnote w:type="continuationSeparator" w:id="0">
    <w:p w14:paraId="3AA47ABA" w14:textId="77777777" w:rsidR="00E51544" w:rsidRDefault="00E51544">
      <w:pPr>
        <w:spacing w:after="0" w:line="240" w:lineRule="auto"/>
      </w:pPr>
      <w:r>
        <w:continuationSeparator/>
      </w:r>
    </w:p>
  </w:footnote>
  <w:footnote w:id="1">
    <w:p w14:paraId="6C66D36E"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Autorización para ejercer la profesión que puede consultarse en el Registro Nacional de Profesionistas. Disponible en: </w:t>
      </w:r>
      <w:hyperlink r:id="rId1">
        <w:r w:rsidR="00001DF2" w:rsidRPr="00961DB4">
          <w:rPr>
            <w:rFonts w:ascii="Century Gothic" w:eastAsia="Century Gothic" w:hAnsi="Century Gothic" w:cs="Century Gothic"/>
            <w:color w:val="467886"/>
            <w:sz w:val="18"/>
            <w:szCs w:val="18"/>
            <w:u w:val="single"/>
          </w:rPr>
          <w:t>https://cedulaprofesional.sep.gob.mx/</w:t>
        </w:r>
      </w:hyperlink>
      <w:r w:rsidRPr="00961DB4">
        <w:rPr>
          <w:rFonts w:ascii="Century Gothic" w:eastAsia="Century Gothic" w:hAnsi="Century Gothic" w:cs="Century Gothic"/>
          <w:color w:val="000000"/>
          <w:sz w:val="18"/>
          <w:szCs w:val="18"/>
        </w:rPr>
        <w:t xml:space="preserve">, resultando además aplicable el criterio jurisprudencial obligatorio para este Trigésimo Circuito, con registro digital </w:t>
      </w:r>
      <w:r w:rsidRPr="00961DB4">
        <w:rPr>
          <w:rFonts w:ascii="Century Gothic" w:eastAsia="Century Gothic" w:hAnsi="Century Gothic" w:cs="Century Gothic"/>
          <w:b/>
          <w:bCs/>
          <w:color w:val="000000"/>
          <w:sz w:val="18"/>
          <w:szCs w:val="18"/>
        </w:rPr>
        <w:t>2032041</w:t>
      </w:r>
      <w:r w:rsidRPr="00961DB4">
        <w:rPr>
          <w:rFonts w:ascii="Century Gothic" w:eastAsia="Century Gothic" w:hAnsi="Century Gothic" w:cs="Century Gothic"/>
          <w:color w:val="000000"/>
          <w:sz w:val="18"/>
          <w:szCs w:val="18"/>
        </w:rPr>
        <w:t xml:space="preserve">, tesis </w:t>
      </w:r>
      <w:r w:rsidRPr="00961DB4">
        <w:rPr>
          <w:rFonts w:ascii="Century Gothic" w:eastAsia="Century Gothic" w:hAnsi="Century Gothic" w:cs="Century Gothic"/>
          <w:b/>
          <w:bCs/>
          <w:color w:val="000000"/>
          <w:sz w:val="18"/>
          <w:szCs w:val="18"/>
        </w:rPr>
        <w:t>PR.P.T.CN. J/1 K (12a.)</w:t>
      </w:r>
      <w:r w:rsidRPr="00961DB4">
        <w:rPr>
          <w:rFonts w:ascii="Century Gothic" w:eastAsia="Century Gothic" w:hAnsi="Century Gothic" w:cs="Century Gothic"/>
          <w:color w:val="000000"/>
          <w:sz w:val="18"/>
          <w:szCs w:val="18"/>
        </w:rPr>
        <w:t xml:space="preserve">, de rubro </w:t>
      </w:r>
      <w:r w:rsidRPr="00961DB4">
        <w:rPr>
          <w:rFonts w:ascii="Century Gothic" w:eastAsia="Century Gothic" w:hAnsi="Century Gothic" w:cs="Century Gothic"/>
          <w:b/>
          <w:bCs/>
          <w:color w:val="000000"/>
          <w:sz w:val="18"/>
          <w:szCs w:val="18"/>
        </w:rPr>
        <w:t>“PERSONA AUTORIZADA EN TÉRMINOS AMPLIOS DEL ARTÍCULO 12, PÁRRAFO SEGUNDO, DE LA LEY DE AMPARO. PARA SU RECONOCIMIENTO BASTA QUE EN EL ESCRITO DONDE SE OTORGA LA AUTORIZACIÓN SE PROPORCIONEN LOS DATOS CON LOS QUE ACREDITE SER LICENCIADO EN DERECHO”</w:t>
      </w:r>
    </w:p>
  </w:footnote>
  <w:footnote w:id="2">
    <w:p w14:paraId="19C01D88" w14:textId="77777777" w:rsidR="00F0254B" w:rsidRPr="00961DB4" w:rsidRDefault="00F0254B"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Registro digital: 198200; Instancia: Pleno; Novena Época; Materias(s): Constitucional, Común; Tesis: P./J. 55/97; Fuente: Semanario Judicial de la Federación y su Gaceta. Tomo VI, Julio de 1997, página 5; Tipo: Jurisprudencia</w:t>
      </w:r>
    </w:p>
    <w:p w14:paraId="7A39AA8B" w14:textId="77777777" w:rsidR="00F0254B" w:rsidRPr="00961DB4" w:rsidRDefault="00F0254B" w:rsidP="00961DB4">
      <w:pPr>
        <w:pBdr>
          <w:top w:val="nil"/>
          <w:left w:val="nil"/>
          <w:bottom w:val="nil"/>
          <w:right w:val="nil"/>
          <w:between w:val="nil"/>
        </w:pBdr>
        <w:spacing w:after="80" w:line="240" w:lineRule="auto"/>
        <w:jc w:val="both"/>
        <w:rPr>
          <w:rFonts w:ascii="Century Gothic" w:eastAsia="Century Gothic" w:hAnsi="Century Gothic" w:cs="Century Gothic"/>
          <w:b/>
          <w:bCs/>
          <w:color w:val="000000"/>
          <w:sz w:val="18"/>
          <w:szCs w:val="18"/>
        </w:rPr>
      </w:pPr>
      <w:r w:rsidRPr="00961DB4">
        <w:rPr>
          <w:rFonts w:ascii="Century Gothic" w:eastAsia="Century Gothic" w:hAnsi="Century Gothic" w:cs="Century Gothic"/>
          <w:b/>
          <w:bCs/>
          <w:color w:val="000000"/>
          <w:sz w:val="18"/>
          <w:szCs w:val="18"/>
        </w:rPr>
        <w:t>LEYES AUTOAPLICATIVAS Y HETEROAPLICATIVAS. DISTINCIÓN BASADA EN EL CONCEPTO DE INDIVIDUALIZACIÓN INCONDICIONADA.</w:t>
      </w:r>
    </w:p>
    <w:p w14:paraId="115082EC" w14:textId="77777777" w:rsidR="00F0254B" w:rsidRPr="00961DB4" w:rsidRDefault="00F0254B"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eastAsia="Century Gothic" w:hAnsi="Century Gothic" w:cs="Century Gothic"/>
          <w:color w:val="000000"/>
          <w:sz w:val="18"/>
          <w:szCs w:val="18"/>
        </w:rPr>
        <w:t>Para distinguir las leyes autoaplicativas de las heteroaplicativas conviene acudir al concepto de individualización incondicionada de las mismas, consustancial a las normas que admiten la procedencia del juicio de amparo desde el momento que entran en vigor, ya que se trata de disposiciones que, acorde con el imperativo en ellas contenido, vinculan al gobernado a su cumplimiento desde el inicio de su vigencia, en virtud de que crean, transforman o extinguen situaciones concretas de derecho. El concepto de individualización constituye un elemento de referencia objetivo para determinar la procedencia del juicio constitucional, porque permite conocer, en cada caso concreto, si los efectos de la disposición legal impugnada ocurren en forma condicionada o incondicionada; así, la condición consiste en la realización del acto necesario para que la ley adquiera individualización, que bien puede revestir el carácter de administrativo o jurisdiccional, e incluso comprende al acto jurídico emanado de la voluntad del propio particular y al hecho jurídico, ajeno a la voluntad humana, que lo sitúan dentro de la hipótesis legal. De esta manera, cuando las obligaciones derivadas de la ley nacen con ella misma, independientemente de que no se actualice condición alguna, se estará en presencia de una ley autoaplicativa o de individualización incondicionada; en cambio, cuando las obligaciones de hacer o de no hacer que impone la ley, no surgen en forma automática con su sola entrada en vigor, sino que se requiere para actualizar el perjuicio de un acto diverso que condicione su aplicación, se tratará de una disposición heteroaplicativa o de individualización condicionada, pues la aplicación jurídica o material de la norma, en un caso concreto, se halla sometida a la realización de ese evento.</w:t>
      </w:r>
    </w:p>
  </w:footnote>
  <w:footnote w:id="3">
    <w:p w14:paraId="0CC799D8" w14:textId="16AB2C47" w:rsidR="00067C73" w:rsidRPr="00961DB4" w:rsidRDefault="00F0254B" w:rsidP="00961DB4">
      <w:pPr>
        <w:pStyle w:val="Textonotapie"/>
        <w:spacing w:after="80"/>
        <w:jc w:val="both"/>
        <w:rPr>
          <w:rFonts w:ascii="Century Gothic" w:hAnsi="Century Gothic"/>
          <w:sz w:val="18"/>
          <w:szCs w:val="18"/>
        </w:rPr>
      </w:pPr>
      <w:r w:rsidRPr="00961DB4">
        <w:rPr>
          <w:rStyle w:val="Refdenotaalpie"/>
          <w:rFonts w:ascii="Century Gothic" w:hAnsi="Century Gothic"/>
          <w:sz w:val="18"/>
          <w:szCs w:val="18"/>
        </w:rPr>
        <w:footnoteRef/>
      </w:r>
      <w:r w:rsidRPr="00961DB4">
        <w:rPr>
          <w:rFonts w:ascii="Century Gothic" w:hAnsi="Century Gothic"/>
          <w:sz w:val="18"/>
          <w:szCs w:val="18"/>
        </w:rPr>
        <w:t xml:space="preserve"> </w:t>
      </w:r>
      <w:r w:rsidR="00067C73" w:rsidRPr="00961DB4">
        <w:rPr>
          <w:rFonts w:ascii="Century Gothic" w:hAnsi="Century Gothic"/>
          <w:sz w:val="18"/>
          <w:szCs w:val="18"/>
        </w:rPr>
        <w:t>Registro digital: 2000246; Instancia: Segunda Sala; Décima Época; Materias(s): Común; Tesis: 2a./J. 25/2011 (10a.); Fuente: Semanario Judicial de la Federación y su Gaceta. Libro V, Febrero de 2012, Tomo 2, página 1217; Tipo: Jurisprudencia</w:t>
      </w:r>
    </w:p>
    <w:p w14:paraId="6065BA93" w14:textId="77777777" w:rsidR="00067C73" w:rsidRPr="00961DB4" w:rsidRDefault="00067C73" w:rsidP="00961DB4">
      <w:pPr>
        <w:pStyle w:val="Textonotapie"/>
        <w:spacing w:after="80"/>
        <w:jc w:val="both"/>
        <w:rPr>
          <w:rFonts w:ascii="Century Gothic" w:hAnsi="Century Gothic"/>
          <w:sz w:val="18"/>
          <w:szCs w:val="18"/>
        </w:rPr>
      </w:pPr>
      <w:r w:rsidRPr="00961DB4">
        <w:rPr>
          <w:rFonts w:ascii="Century Gothic" w:hAnsi="Century Gothic"/>
          <w:b/>
          <w:bCs/>
          <w:sz w:val="18"/>
          <w:szCs w:val="18"/>
        </w:rPr>
        <w:t>MAGISTRADOS DEL PODER JUDICIAL DEL ESTADO DE VERACRUZ DE IGNACIO DE LA LLAVE. OPORTUNIDAD PARA PROMOVER JUICIO DE AMPARO CONTRA LOS ARTÍCULOS 59 DE LA CONSTITUCIÓN POLÍTICA Y 4 DE LA LEY ORGÁNICA DEL PODER JUDICIAL, AMBAS DE ESA ENTIDAD FEDERATIVA, QUE PREVÉN UNA RESTRICCIÓN ABSOLUTA A LA PRÓRROGA DE SU NOMBRAMIENTO</w:t>
      </w:r>
      <w:r w:rsidRPr="00961DB4">
        <w:rPr>
          <w:rFonts w:ascii="Century Gothic" w:hAnsi="Century Gothic"/>
          <w:sz w:val="18"/>
          <w:szCs w:val="18"/>
        </w:rPr>
        <w:t>.</w:t>
      </w:r>
    </w:p>
    <w:p w14:paraId="234FB328" w14:textId="77861DDD" w:rsidR="00F0254B" w:rsidRPr="00961DB4" w:rsidRDefault="00067C73" w:rsidP="00961DB4">
      <w:pPr>
        <w:pStyle w:val="Textonotapie"/>
        <w:spacing w:after="80"/>
        <w:jc w:val="both"/>
        <w:rPr>
          <w:rFonts w:ascii="Century Gothic" w:hAnsi="Century Gothic"/>
          <w:sz w:val="18"/>
          <w:szCs w:val="18"/>
        </w:rPr>
      </w:pPr>
      <w:r w:rsidRPr="00961DB4">
        <w:rPr>
          <w:rFonts w:ascii="Century Gothic" w:hAnsi="Century Gothic"/>
          <w:sz w:val="18"/>
          <w:szCs w:val="18"/>
        </w:rPr>
        <w:t>Conforme al criterio sustentado por el Tribunal en Pleno de la Suprema Corte de Justicia de la Nación en la jurisprudencia P./J. 55/97, de rubro: "LEYES AUTOAPLICATIVAS Y HETEROAPLICATIVAS. DISTINCIÓN BASADA EN EL CONCEPTO DE INDIVIDUALIZACIÓN INCONDICIONADA.", el término para que una persona nombrada como Magistrado del Poder Judicial del Estado de Veracruz de Ignacio de la Llave, bajo los supuestos previstos en los artículos 59 de la Constitución Política y 4 de la Ley Orgánica del Poder Judicial, ambas de esa entidad federativa, promueva juicio de amparo alegando su inconstitucionalidad, al establecer una restricción absoluta a la prórroga de su nombramiento, será de 15 días contados a partir de que se cumplan 10 años con ese carácter, plazo máximo que contemplan dichos preceptos para el ejercicio del cargo. Ello es así, porque es hasta ese momento cuando podría estimarse que se causa un agravio a la esfera jurídica del quejoso, al empezar a surtir plenos efectos la imposibilidad de prórroga que esos artículos prevén, esto es, cuando se configura la condicionante temporal que hace que dicha prohibición trascienda en la esfera jurídica de éste y la individualiza en su perjuicio, lo que le otorga la posibilidad de impugnar aquéllos como heteroaplicativos.</w:t>
      </w:r>
    </w:p>
  </w:footnote>
  <w:footnote w:id="4">
    <w:p w14:paraId="23CDA371" w14:textId="4A95F043" w:rsidR="004C3477" w:rsidRPr="00961DB4" w:rsidRDefault="004C3477" w:rsidP="00961DB4">
      <w:pPr>
        <w:pStyle w:val="Textonotapie"/>
        <w:spacing w:after="80"/>
        <w:jc w:val="both"/>
        <w:rPr>
          <w:rFonts w:ascii="Century Gothic" w:hAnsi="Century Gothic"/>
          <w:sz w:val="18"/>
          <w:szCs w:val="18"/>
        </w:rPr>
      </w:pPr>
      <w:r w:rsidRPr="00961DB4">
        <w:rPr>
          <w:rStyle w:val="Refdenotaalpie"/>
          <w:rFonts w:ascii="Century Gothic" w:hAnsi="Century Gothic"/>
          <w:sz w:val="18"/>
          <w:szCs w:val="18"/>
        </w:rPr>
        <w:footnoteRef/>
      </w:r>
      <w:r w:rsidRPr="00961DB4">
        <w:rPr>
          <w:rFonts w:ascii="Century Gothic" w:hAnsi="Century Gothic"/>
          <w:sz w:val="18"/>
          <w:szCs w:val="18"/>
        </w:rPr>
        <w:t xml:space="preserve"> Artículo 298. Los juicios de amparo indirecto serán sustanciados por los jueces y tribunales especializados en la materia de competencia, telecomunicaciones y radiodifusión.</w:t>
      </w:r>
    </w:p>
  </w:footnote>
  <w:footnote w:id="5">
    <w:p w14:paraId="304070C2" w14:textId="77A8019B" w:rsidR="004C3477" w:rsidRPr="00961DB4" w:rsidRDefault="004C3477" w:rsidP="00961DB4">
      <w:pPr>
        <w:pStyle w:val="Textonotapie"/>
        <w:spacing w:after="80"/>
        <w:jc w:val="both"/>
        <w:rPr>
          <w:rFonts w:ascii="Century Gothic" w:hAnsi="Century Gothic"/>
          <w:sz w:val="18"/>
          <w:szCs w:val="18"/>
        </w:rPr>
      </w:pPr>
      <w:r w:rsidRPr="00961DB4">
        <w:rPr>
          <w:rStyle w:val="Refdenotaalpie"/>
          <w:rFonts w:ascii="Century Gothic" w:hAnsi="Century Gothic"/>
          <w:sz w:val="18"/>
          <w:szCs w:val="18"/>
        </w:rPr>
        <w:footnoteRef/>
      </w:r>
      <w:r w:rsidR="00E92698" w:rsidRPr="00961DB4">
        <w:rPr>
          <w:rFonts w:ascii="Century Gothic" w:hAnsi="Century Gothic"/>
          <w:sz w:val="18"/>
          <w:szCs w:val="18"/>
        </w:rPr>
        <w:t xml:space="preserve"> </w:t>
      </w:r>
      <w:r w:rsidRPr="00961DB4">
        <w:rPr>
          <w:rFonts w:ascii="Century Gothic" w:hAnsi="Century Gothic"/>
          <w:sz w:val="18"/>
          <w:szCs w:val="18"/>
        </w:rPr>
        <w:t>Artículo 296. Las normas generales, actos u omisiones de la Comisión, incluyendo las Normas Oficiales Mexicanas en materia de telecomunicaciones y radiodifusión, podrán ser impugnadas únicamente mediante el juicio de amparo indirecto y no serán objeto de suspensión.</w:t>
      </w:r>
    </w:p>
  </w:footnote>
  <w:footnote w:id="6">
    <w:p w14:paraId="067DEABF" w14:textId="601A84FE" w:rsidR="00E8315A" w:rsidRPr="00961DB4" w:rsidRDefault="00E8315A"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Style w:val="Refdenotaalpie"/>
          <w:rFonts w:ascii="Century Gothic" w:hAnsi="Century Gothic"/>
          <w:sz w:val="18"/>
          <w:szCs w:val="18"/>
        </w:rPr>
        <w:footnoteRef/>
      </w:r>
      <w:r w:rsidRPr="00961DB4">
        <w:rPr>
          <w:rFonts w:ascii="Century Gothic" w:hAnsi="Century Gothic"/>
          <w:sz w:val="18"/>
          <w:szCs w:val="18"/>
        </w:rPr>
        <w:t xml:space="preserve"> </w:t>
      </w:r>
      <w:r w:rsidR="00127EA9" w:rsidRPr="00961DB4">
        <w:rPr>
          <w:rFonts w:ascii="Century Gothic" w:hAnsi="Century Gothic"/>
          <w:sz w:val="18"/>
          <w:szCs w:val="18"/>
        </w:rPr>
        <w:t xml:space="preserve">Registro digital: 28584; Asunto: CONTRADICCIÓN DE TESIS 37/2019; Décima Época; Fuente: Gaceta del Semanario Judicial de la Federación. Libro 65, Abril de 2019, Tomo II , página 1167; Instancia: Segunda Sala. Disponible en el siguiente enlace: </w:t>
      </w:r>
      <w:hyperlink r:id="rId2" w:history="1">
        <w:r w:rsidR="00127EA9" w:rsidRPr="00961DB4">
          <w:rPr>
            <w:rStyle w:val="Hipervnculo"/>
            <w:rFonts w:ascii="Century Gothic" w:hAnsi="Century Gothic"/>
            <w:sz w:val="18"/>
            <w:szCs w:val="18"/>
          </w:rPr>
          <w:t>https://sjf2.scjn.gob.mx/detalle/ejecutoria/28584</w:t>
        </w:r>
      </w:hyperlink>
      <w:r w:rsidR="00127EA9" w:rsidRPr="00961DB4">
        <w:rPr>
          <w:rFonts w:ascii="Century Gothic" w:hAnsi="Century Gothic"/>
          <w:sz w:val="18"/>
          <w:szCs w:val="18"/>
        </w:rPr>
        <w:t xml:space="preserve">, </w:t>
      </w:r>
      <w:r w:rsidR="00127EA9" w:rsidRPr="00961DB4">
        <w:rPr>
          <w:rFonts w:ascii="Century Gothic" w:eastAsia="Century Gothic" w:hAnsi="Century Gothic" w:cs="Century Gothic"/>
          <w:color w:val="000000"/>
          <w:sz w:val="18"/>
          <w:szCs w:val="18"/>
        </w:rPr>
        <w:t xml:space="preserve">que dio origen a la siguiente jurisprudencia, de rubro: </w:t>
      </w:r>
      <w:r w:rsidR="003D3D59" w:rsidRPr="00961DB4">
        <w:rPr>
          <w:rFonts w:ascii="Century Gothic" w:eastAsia="Century Gothic" w:hAnsi="Century Gothic" w:cs="Century Gothic"/>
          <w:color w:val="000000"/>
          <w:sz w:val="18"/>
          <w:szCs w:val="18"/>
        </w:rPr>
        <w:t>DECRETO POR EL QUE SE REFORMAN Y ADICIONAN, ENTRE OTROS, LOS ARTÍCULOS 75 Y 127 DE LA CONSTITUCIÓN POLÍTICA DE LOS ESTADOS UNIDOS MEXICANOS Y DECRETO POR EL QUE SE EXPIDE LA LEY FEDERAL DE REMUNERACIONES DE LOS SERVIDORES PÚBLICOS Y SE ADICIONAN DISPOSICIONES AL CÓDIGO PENAL FEDERAL. LA COMPETENCIA PARA CONOCER DE LOS CASOS RELACIONADOS CON SU RECLAMO, CORRESPONDE A LOS ÓRGANOS JURISDICCIONALES ESPECIALIZADOS EN MATERIA ADMINISTRATIVA</w:t>
      </w:r>
      <w:r w:rsidR="00127EA9" w:rsidRPr="00961DB4">
        <w:rPr>
          <w:rFonts w:ascii="Century Gothic" w:eastAsia="Century Gothic" w:hAnsi="Century Gothic" w:cs="Century Gothic"/>
          <w:color w:val="000000"/>
          <w:sz w:val="18"/>
          <w:szCs w:val="18"/>
        </w:rPr>
        <w:t xml:space="preserve">; Tesis: </w:t>
      </w:r>
      <w:r w:rsidR="003D3D59" w:rsidRPr="00961DB4">
        <w:rPr>
          <w:rFonts w:ascii="Century Gothic" w:eastAsia="Century Gothic" w:hAnsi="Century Gothic" w:cs="Century Gothic"/>
          <w:color w:val="000000"/>
          <w:sz w:val="18"/>
          <w:szCs w:val="18"/>
        </w:rPr>
        <w:t>2a./J. 68/2019 (10a.)</w:t>
      </w:r>
      <w:r w:rsidR="00127EA9" w:rsidRPr="00961DB4">
        <w:rPr>
          <w:rFonts w:ascii="Century Gothic" w:eastAsia="Century Gothic" w:hAnsi="Century Gothic" w:cs="Century Gothic"/>
          <w:color w:val="000000"/>
          <w:sz w:val="18"/>
          <w:szCs w:val="18"/>
        </w:rPr>
        <w:t xml:space="preserve">; Instancia: </w:t>
      </w:r>
      <w:r w:rsidR="003D3D59" w:rsidRPr="00961DB4">
        <w:rPr>
          <w:rFonts w:ascii="Century Gothic" w:eastAsia="Century Gothic" w:hAnsi="Century Gothic" w:cs="Century Gothic"/>
          <w:color w:val="000000"/>
          <w:sz w:val="18"/>
          <w:szCs w:val="18"/>
        </w:rPr>
        <w:t>Segunda Sala</w:t>
      </w:r>
      <w:r w:rsidR="00127EA9" w:rsidRPr="00961DB4">
        <w:rPr>
          <w:rFonts w:ascii="Century Gothic" w:eastAsia="Century Gothic" w:hAnsi="Century Gothic" w:cs="Century Gothic"/>
          <w:color w:val="000000"/>
          <w:sz w:val="18"/>
          <w:szCs w:val="18"/>
        </w:rPr>
        <w:t>; Registro digital: </w:t>
      </w:r>
      <w:r w:rsidR="003D3D59" w:rsidRPr="00961DB4">
        <w:rPr>
          <w:rFonts w:ascii="Century Gothic" w:eastAsia="Century Gothic" w:hAnsi="Century Gothic" w:cs="Century Gothic"/>
          <w:color w:val="000000"/>
          <w:sz w:val="18"/>
          <w:szCs w:val="18"/>
        </w:rPr>
        <w:t>2019662</w:t>
      </w:r>
      <w:r w:rsidR="00127EA9" w:rsidRPr="00961DB4">
        <w:rPr>
          <w:rFonts w:ascii="Century Gothic" w:eastAsia="Century Gothic" w:hAnsi="Century Gothic" w:cs="Century Gothic"/>
          <w:color w:val="000000"/>
          <w:sz w:val="18"/>
          <w:szCs w:val="18"/>
        </w:rPr>
        <w:t xml:space="preserve">. Disponible en el siguiente enlace: </w:t>
      </w:r>
      <w:hyperlink r:id="rId3" w:history="1">
        <w:r w:rsidR="003D3D59" w:rsidRPr="00961DB4">
          <w:rPr>
            <w:rStyle w:val="Hipervnculo"/>
            <w:rFonts w:ascii="Century Gothic" w:hAnsi="Century Gothic"/>
            <w:sz w:val="18"/>
            <w:szCs w:val="18"/>
          </w:rPr>
          <w:t>https://sjf2.scjn.gob.mx/detalle/tesis/2019662</w:t>
        </w:r>
      </w:hyperlink>
      <w:r w:rsidR="003D3D59" w:rsidRPr="00961DB4">
        <w:rPr>
          <w:rFonts w:ascii="Century Gothic" w:hAnsi="Century Gothic"/>
          <w:sz w:val="18"/>
          <w:szCs w:val="18"/>
        </w:rPr>
        <w:t xml:space="preserve"> </w:t>
      </w:r>
    </w:p>
  </w:footnote>
  <w:footnote w:id="7">
    <w:p w14:paraId="31B875AE" w14:textId="610A4BDE" w:rsidR="00E8315A" w:rsidRPr="00961DB4" w:rsidRDefault="00E8315A" w:rsidP="00961DB4">
      <w:pPr>
        <w:pStyle w:val="Textonotapie"/>
        <w:spacing w:after="80"/>
        <w:jc w:val="both"/>
        <w:rPr>
          <w:rFonts w:ascii="Century Gothic" w:hAnsi="Century Gothic"/>
          <w:sz w:val="18"/>
          <w:szCs w:val="18"/>
        </w:rPr>
      </w:pPr>
      <w:r w:rsidRPr="00961DB4">
        <w:rPr>
          <w:rStyle w:val="Refdenotaalpie"/>
          <w:rFonts w:ascii="Century Gothic" w:hAnsi="Century Gothic"/>
          <w:sz w:val="18"/>
          <w:szCs w:val="18"/>
        </w:rPr>
        <w:footnoteRef/>
      </w:r>
      <w:r w:rsidRPr="00961DB4">
        <w:rPr>
          <w:rFonts w:ascii="Century Gothic" w:hAnsi="Century Gothic"/>
          <w:sz w:val="18"/>
          <w:szCs w:val="18"/>
        </w:rPr>
        <w:t xml:space="preserve"> </w:t>
      </w:r>
      <w:r w:rsidR="002353F5" w:rsidRPr="00961DB4">
        <w:rPr>
          <w:rFonts w:ascii="Century Gothic" w:hAnsi="Century Gothic"/>
          <w:sz w:val="18"/>
          <w:szCs w:val="18"/>
        </w:rPr>
        <w:t xml:space="preserve">Registro digital: 2032251; Instancia: Tribunales Colegiados de Circuito; Duodécima Época; Materias(s): Administrativa, Común; Tesis: VI.3o.A.33 A (12a.); Fuente: Semanario Judicial de la Federación.; Tipo: Aislada; Rubro: COMPETENCIA POR MATERIA PARA CONOCER DEL AMPARO INDIRECTO CONTRA EL SISTEMA NORMATIVO QUE FACULTA A DIVERSAS AUTORIDADES PARA REALIZAR LABORES DE INTELIGENCIA Y PROCESAMIENTO DE INFORMACIÓN ESTRATÉGICA EN MATERIA DE SEGURIDAD PÚBLICA PARA LA INVESTIGACIÓN DE DELITOS COMETIDOS POR LA DELINCUENCIA ORGANIZADA. CORRESPONDE A UN JUZGADO DE DISTRITO EN MATERIA PENAL. Disponible en el siguiente enlace: </w:t>
      </w:r>
      <w:hyperlink r:id="rId4" w:history="1">
        <w:r w:rsidR="002353F5" w:rsidRPr="00961DB4">
          <w:rPr>
            <w:rStyle w:val="Hipervnculo"/>
            <w:rFonts w:ascii="Century Gothic" w:hAnsi="Century Gothic"/>
            <w:sz w:val="18"/>
            <w:szCs w:val="18"/>
          </w:rPr>
          <w:t>https://sjf2.scjn.gob.mx/detalle/tesis/2032251</w:t>
        </w:r>
      </w:hyperlink>
      <w:r w:rsidR="002353F5" w:rsidRPr="00961DB4">
        <w:rPr>
          <w:rFonts w:ascii="Century Gothic" w:hAnsi="Century Gothic"/>
          <w:sz w:val="18"/>
          <w:szCs w:val="18"/>
        </w:rPr>
        <w:t xml:space="preserve">, precedente disponible en el siguiente enlace: </w:t>
      </w:r>
      <w:hyperlink r:id="rId5" w:history="1">
        <w:r w:rsidR="002353F5" w:rsidRPr="00961DB4">
          <w:rPr>
            <w:rStyle w:val="Hipervnculo"/>
            <w:rFonts w:ascii="Century Gothic" w:hAnsi="Century Gothic"/>
            <w:sz w:val="18"/>
            <w:szCs w:val="18"/>
          </w:rPr>
          <w:t>https://sise.cjf.gob.mx/SVP/word1.aspx?arch=193/0193000039904097003.pdf_1&amp;sec=Omar_Gómez_Silva&amp;svp=1</w:t>
        </w:r>
      </w:hyperlink>
      <w:r w:rsidR="002353F5" w:rsidRPr="00961DB4">
        <w:rPr>
          <w:rFonts w:ascii="Century Gothic" w:hAnsi="Century Gothic"/>
          <w:sz w:val="18"/>
          <w:szCs w:val="18"/>
        </w:rPr>
        <w:t xml:space="preserve"> </w:t>
      </w:r>
    </w:p>
  </w:footnote>
  <w:footnote w:id="8">
    <w:p w14:paraId="1CF84966" w14:textId="1098BEA1" w:rsidR="000D0388" w:rsidRPr="00961DB4" w:rsidRDefault="000D0388"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Registro digital: 31068; Asunto: ACCIÓN DE INCONSTITUCIONALIDAD 82/2021 Y SU ACUMULADA 86/2021; Undécima Época; Fuente: Gaceta del Semanario Judicial de la Federación. Libro 19, Noviembre de 2022, Tomo I, página 41; Instancia: Pleno. Disponible en el siguiente enlace: </w:t>
      </w:r>
      <w:hyperlink r:id="rId6">
        <w:r w:rsidRPr="00961DB4">
          <w:rPr>
            <w:rFonts w:ascii="Century Gothic" w:eastAsia="Century Gothic" w:hAnsi="Century Gothic" w:cs="Century Gothic"/>
            <w:color w:val="467886"/>
            <w:sz w:val="18"/>
            <w:szCs w:val="18"/>
            <w:u w:val="single"/>
          </w:rPr>
          <w:t>https://sjf2.scjn.gob.mx/detalle/ejecutoria/31068</w:t>
        </w:r>
      </w:hyperlink>
    </w:p>
  </w:footnote>
  <w:footnote w:id="9">
    <w:p w14:paraId="4EBED074" w14:textId="0155934A" w:rsidR="00E92698" w:rsidRPr="00961DB4" w:rsidRDefault="00E92698" w:rsidP="00961DB4">
      <w:pPr>
        <w:pStyle w:val="Textonotapie"/>
        <w:spacing w:after="80"/>
        <w:jc w:val="both"/>
        <w:rPr>
          <w:rFonts w:ascii="Century Gothic" w:hAnsi="Century Gothic"/>
          <w:sz w:val="18"/>
          <w:szCs w:val="18"/>
        </w:rPr>
      </w:pPr>
      <w:r w:rsidRPr="00961DB4">
        <w:rPr>
          <w:rStyle w:val="Refdenotaalpie"/>
          <w:rFonts w:ascii="Century Gothic" w:hAnsi="Century Gothic"/>
          <w:sz w:val="18"/>
          <w:szCs w:val="18"/>
        </w:rPr>
        <w:footnoteRef/>
      </w:r>
      <w:r w:rsidRPr="00961DB4">
        <w:rPr>
          <w:rFonts w:ascii="Century Gothic" w:hAnsi="Century Gothic"/>
          <w:sz w:val="18"/>
          <w:szCs w:val="18"/>
        </w:rPr>
        <w:t xml:space="preserve"> Registro digital: 33914; Asunto: CONFLICTO COMPETENCIAL 19/2025; Duodécima Época; Fuente: Gaceta del Semanario Judicial de la Federación. Libro 7, Marzo de 2026, Tomo IV, Volumen 2 , página 1189; Instancia: Tribunales Colegiados de Circuito. Disponible en el siguiente enlace: </w:t>
      </w:r>
      <w:hyperlink r:id="rId7" w:history="1">
        <w:r w:rsidRPr="00961DB4">
          <w:rPr>
            <w:rStyle w:val="Hipervnculo"/>
            <w:rFonts w:ascii="Century Gothic" w:hAnsi="Century Gothic"/>
            <w:sz w:val="18"/>
            <w:szCs w:val="18"/>
          </w:rPr>
          <w:t>https://sjf2.scjn.gob.mx/detalle/ejecutoria/33914</w:t>
        </w:r>
      </w:hyperlink>
      <w:r w:rsidRPr="00961DB4">
        <w:rPr>
          <w:rFonts w:ascii="Century Gothic" w:hAnsi="Century Gothic"/>
          <w:sz w:val="18"/>
          <w:szCs w:val="18"/>
        </w:rPr>
        <w:t xml:space="preserve">, </w:t>
      </w:r>
      <w:r w:rsidRPr="00961DB4">
        <w:rPr>
          <w:rFonts w:ascii="Century Gothic" w:eastAsia="Century Gothic" w:hAnsi="Century Gothic" w:cs="Century Gothic"/>
          <w:color w:val="000000"/>
          <w:sz w:val="18"/>
          <w:szCs w:val="18"/>
        </w:rPr>
        <w:t xml:space="preserve">que dio origen a la siguiente jurisprudencia, de rubro: COMPETENCIA PARA CONOCER DEL AMPARO INDIRECTO CONTRA NORMAS GENERALES QUE PREVEAN EL TRATAMIENTO O RESGUARDO DE DATOS PERSONALES. CORRESPONDE A LOS JUZGADOS DE DISTRITO NO ESPECIALIZADOS, CUANDO NO SE RECLAMEN DIRECTAMENTE LAS LEYES QUE REGULEN EL ACCESO A LA INFORMACIÓN PÚBLICA O PROTECCIÓN DE DATOS PERSONALES Y EL ACTO RECLAMADO NO SE ATRIBUYA A AUTORIDADES GARANTES EN LA MATERIA; XXX.3o. J/1 A (12a.); Instancia: Tribunales Colegiados de Circuito; Registro digital: 2031960. Disponible en el siguiente enlace: </w:t>
      </w:r>
      <w:hyperlink r:id="rId8" w:history="1">
        <w:r w:rsidRPr="00961DB4">
          <w:rPr>
            <w:rStyle w:val="Hipervnculo"/>
            <w:rFonts w:ascii="Century Gothic" w:eastAsia="Century Gothic" w:hAnsi="Century Gothic" w:cs="Century Gothic"/>
            <w:sz w:val="18"/>
            <w:szCs w:val="18"/>
          </w:rPr>
          <w:t>https://sjf2.scjn.gob.mx/detalle/tesis/2031960</w:t>
        </w:r>
      </w:hyperlink>
      <w:r w:rsidRPr="00961DB4">
        <w:rPr>
          <w:rFonts w:ascii="Century Gothic" w:eastAsia="Century Gothic" w:hAnsi="Century Gothic" w:cs="Century Gothic"/>
          <w:color w:val="000000"/>
          <w:sz w:val="18"/>
          <w:szCs w:val="18"/>
        </w:rPr>
        <w:t xml:space="preserve"> </w:t>
      </w:r>
    </w:p>
  </w:footnote>
  <w:footnote w:id="10">
    <w:p w14:paraId="5A56C485" w14:textId="4D2DFF3B" w:rsidR="003604D5" w:rsidRPr="00961DB4" w:rsidRDefault="003604D5" w:rsidP="00961DB4">
      <w:pPr>
        <w:pStyle w:val="Textonotapie"/>
        <w:spacing w:after="80"/>
        <w:jc w:val="both"/>
        <w:rPr>
          <w:rFonts w:ascii="Century Gothic" w:hAnsi="Century Gothic"/>
          <w:sz w:val="18"/>
          <w:szCs w:val="18"/>
        </w:rPr>
      </w:pPr>
      <w:r w:rsidRPr="00961DB4">
        <w:rPr>
          <w:rStyle w:val="Refdenotaalpie"/>
          <w:rFonts w:ascii="Century Gothic" w:hAnsi="Century Gothic"/>
          <w:sz w:val="18"/>
          <w:szCs w:val="18"/>
        </w:rPr>
        <w:footnoteRef/>
      </w:r>
      <w:r w:rsidRPr="00961DB4">
        <w:rPr>
          <w:rFonts w:ascii="Century Gothic" w:hAnsi="Century Gothic"/>
          <w:sz w:val="18"/>
          <w:szCs w:val="18"/>
        </w:rPr>
        <w:t xml:space="preserve"> SCJN. Primera Sala. Conflicto Competencial 185/2017. Aprobado por unanimidad de votos en la sesión celebrada el 6 de septiembre de 2017. Disponible en el siguiente enlace: </w:t>
      </w:r>
      <w:hyperlink r:id="rId9" w:history="1">
        <w:r w:rsidRPr="00961DB4">
          <w:rPr>
            <w:rStyle w:val="Hipervnculo"/>
            <w:rFonts w:ascii="Century Gothic" w:hAnsi="Century Gothic"/>
            <w:sz w:val="18"/>
            <w:szCs w:val="18"/>
          </w:rPr>
          <w:t>https://www2.scjn.gob.mx/juridica/engroses/1/2017/3/2_217484_3701_firmado.pdf</w:t>
        </w:r>
      </w:hyperlink>
      <w:r w:rsidRPr="00961DB4">
        <w:rPr>
          <w:rFonts w:ascii="Century Gothic" w:hAnsi="Century Gothic"/>
          <w:sz w:val="18"/>
          <w:szCs w:val="18"/>
        </w:rPr>
        <w:t xml:space="preserve"> </w:t>
      </w:r>
    </w:p>
    <w:p w14:paraId="5EB9243D" w14:textId="77777777" w:rsidR="003604D5" w:rsidRPr="00961DB4" w:rsidRDefault="003604D5" w:rsidP="00961DB4">
      <w:pPr>
        <w:pStyle w:val="Textonotapie"/>
        <w:spacing w:after="80"/>
        <w:jc w:val="both"/>
        <w:rPr>
          <w:rFonts w:ascii="Century Gothic" w:hAnsi="Century Gothic"/>
          <w:i/>
          <w:iCs/>
          <w:sz w:val="18"/>
          <w:szCs w:val="18"/>
        </w:rPr>
      </w:pPr>
      <w:r w:rsidRPr="00961DB4">
        <w:rPr>
          <w:rFonts w:ascii="Century Gothic" w:hAnsi="Century Gothic"/>
          <w:i/>
          <w:iCs/>
          <w:sz w:val="18"/>
          <w:szCs w:val="18"/>
        </w:rPr>
        <w:t>“TERCERO. Decisión.</w:t>
      </w:r>
    </w:p>
    <w:p w14:paraId="296DEC24" w14:textId="77777777" w:rsidR="003604D5" w:rsidRPr="00961DB4" w:rsidRDefault="003604D5" w:rsidP="00961DB4">
      <w:pPr>
        <w:pStyle w:val="Textonotapie"/>
        <w:spacing w:after="80"/>
        <w:jc w:val="both"/>
        <w:rPr>
          <w:rFonts w:ascii="Century Gothic" w:hAnsi="Century Gothic"/>
          <w:i/>
          <w:iCs/>
          <w:sz w:val="18"/>
          <w:szCs w:val="18"/>
        </w:rPr>
      </w:pPr>
      <w:r w:rsidRPr="00961DB4">
        <w:rPr>
          <w:rFonts w:ascii="Century Gothic" w:hAnsi="Century Gothic"/>
          <w:i/>
          <w:iCs/>
          <w:sz w:val="18"/>
          <w:szCs w:val="18"/>
        </w:rPr>
        <w:t>(…)</w:t>
      </w:r>
    </w:p>
    <w:p w14:paraId="0E05793B" w14:textId="7A3FFA25" w:rsidR="003604D5" w:rsidRPr="00961DB4" w:rsidRDefault="003604D5" w:rsidP="00961DB4">
      <w:pPr>
        <w:pStyle w:val="Textonotapie"/>
        <w:spacing w:after="80"/>
        <w:jc w:val="both"/>
        <w:rPr>
          <w:rFonts w:ascii="Century Gothic" w:hAnsi="Century Gothic"/>
          <w:sz w:val="18"/>
          <w:szCs w:val="18"/>
        </w:rPr>
      </w:pPr>
      <w:r w:rsidRPr="00961DB4">
        <w:rPr>
          <w:rFonts w:ascii="Century Gothic" w:hAnsi="Century Gothic"/>
          <w:i/>
          <w:iCs/>
          <w:sz w:val="18"/>
          <w:szCs w:val="18"/>
        </w:rPr>
        <w:t>Así, la especialidad por materia permite aprovechar el conocimiento y la experiencia de quienes se dedican en forma preferente y permanente a una determinada rama del derecho, a efecto de cumplir con la garantía de justicia pronta, completa e imparcial establecida en el artículo 17 de la Constitución Federal, así como en los numerales 8 y 25 de la Convención Americana sobre Derechos Humanos.”</w:t>
      </w:r>
      <w:r w:rsidRPr="00961DB4">
        <w:rPr>
          <w:rFonts w:ascii="Century Gothic" w:hAnsi="Century Gothic"/>
          <w:i/>
          <w:iCs/>
          <w:sz w:val="18"/>
          <w:szCs w:val="18"/>
        </w:rPr>
        <w:br/>
      </w:r>
    </w:p>
  </w:footnote>
  <w:footnote w:id="11">
    <w:p w14:paraId="46471560"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b/>
          <w:bCs/>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w:t>
      </w:r>
      <w:r w:rsidRPr="00961DB4">
        <w:rPr>
          <w:rFonts w:ascii="Century Gothic" w:eastAsia="Century Gothic" w:hAnsi="Century Gothic" w:cs="Century Gothic"/>
          <w:b/>
          <w:bCs/>
          <w:color w:val="000000"/>
          <w:sz w:val="18"/>
          <w:szCs w:val="18"/>
        </w:rPr>
        <w:t>Ley Reglamentaria de las fracciones I y II del Artículo 105 de la Constitución Política de los Estados Unidos Mexicanos</w:t>
      </w:r>
    </w:p>
    <w:p w14:paraId="300BCD3B"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eastAsia="Century Gothic" w:hAnsi="Century Gothic" w:cs="Century Gothic"/>
          <w:b/>
          <w:bCs/>
          <w:color w:val="000000"/>
          <w:sz w:val="18"/>
          <w:szCs w:val="18"/>
        </w:rPr>
        <w:t>Artículo 43.</w:t>
      </w:r>
      <w:r w:rsidRPr="00961DB4">
        <w:rPr>
          <w:rFonts w:ascii="Century Gothic" w:eastAsia="Century Gothic" w:hAnsi="Century Gothic" w:cs="Century Gothic"/>
          <w:color w:val="000000"/>
          <w:sz w:val="18"/>
          <w:szCs w:val="18"/>
        </w:rPr>
        <w:t xml:space="preserve"> Las razones que justifiquen las decisiones de las sentencias aprobadas por cuando menos seis votos, serán obligatorias para todas las autoridades jurisdiccionales de la federación y de las entidades federativas. </w:t>
      </w:r>
    </w:p>
    <w:p w14:paraId="4FCD239A"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eastAsia="Century Gothic" w:hAnsi="Century Gothic" w:cs="Century Gothic"/>
          <w:color w:val="000000"/>
          <w:sz w:val="18"/>
          <w:szCs w:val="18"/>
        </w:rPr>
        <w:t xml:space="preserve">Las cuestiones de hecho o de derecho que no sean necesarias para justificar la decisión no serán obligatorias. </w:t>
      </w:r>
    </w:p>
    <w:p w14:paraId="0BDBBC9D"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eastAsia="Century Gothic" w:hAnsi="Century Gothic" w:cs="Century Gothic"/>
          <w:color w:val="000000"/>
          <w:sz w:val="18"/>
          <w:szCs w:val="18"/>
        </w:rPr>
        <w:t xml:space="preserve">La Suprema Corte no estará obligada a seguir sus propios precedentes. Sin embargo, para que pueda apartarse de ellos deberá proporcionar argumentos suficientes que justifiquen el cambio de criterio. La Suprema Corte estará vinculada por sus precedentes en los términos antes descritos, incluso cuando éstos se hayan emitido con una integración de Ministras y Ministros distinta. </w:t>
      </w:r>
    </w:p>
  </w:footnote>
  <w:footnote w:id="12">
    <w:p w14:paraId="07DF9B92" w14:textId="093CF574"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AVISO DE PRIVACIDAD INTEGRAL DE AT&amp;T </w:t>
      </w:r>
      <w:r w:rsidR="00916B20" w:rsidRPr="00961DB4">
        <w:rPr>
          <w:rFonts w:ascii="Century Gothic" w:eastAsia="Century Gothic" w:hAnsi="Century Gothic" w:cs="Century Gothic"/>
          <w:color w:val="000000"/>
          <w:sz w:val="18"/>
          <w:szCs w:val="18"/>
        </w:rPr>
        <w:t>MÉXICO</w:t>
      </w:r>
      <w:r w:rsidRPr="00961DB4">
        <w:rPr>
          <w:rFonts w:ascii="Century Gothic" w:eastAsia="Century Gothic" w:hAnsi="Century Gothic" w:cs="Century Gothic"/>
          <w:color w:val="000000"/>
          <w:sz w:val="18"/>
          <w:szCs w:val="18"/>
        </w:rPr>
        <w:t xml:space="preserve">. Fecha de actualización 04 de junio de 2026. Disponible en el siguiente enlace: </w:t>
      </w:r>
      <w:hyperlink r:id="rId10">
        <w:r w:rsidR="00001DF2" w:rsidRPr="00961DB4">
          <w:rPr>
            <w:rFonts w:ascii="Century Gothic" w:eastAsia="Century Gothic" w:hAnsi="Century Gothic" w:cs="Century Gothic"/>
            <w:color w:val="467886"/>
            <w:sz w:val="18"/>
            <w:szCs w:val="18"/>
            <w:u w:val="single"/>
          </w:rPr>
          <w:t>https://att.com.mx/config-legal/detalle/?type=pdf&amp;title=Aviso%20de%20privacidad&amp;src=https%3A%2F%2Fd14v9oh63c3onh.cloudfront.net%2FAviso_de_privacidad_28c76742ba.pdf</w:t>
        </w:r>
      </w:hyperlink>
      <w:r w:rsidRPr="00961DB4">
        <w:rPr>
          <w:rFonts w:ascii="Century Gothic" w:eastAsia="Century Gothic" w:hAnsi="Century Gothic" w:cs="Century Gothic"/>
          <w:color w:val="000000"/>
          <w:sz w:val="18"/>
          <w:szCs w:val="18"/>
        </w:rPr>
        <w:t xml:space="preserve"> </w:t>
      </w:r>
    </w:p>
  </w:footnote>
  <w:footnote w:id="13">
    <w:p w14:paraId="5326A806" w14:textId="4C2081D1" w:rsidR="00916B20" w:rsidRPr="00961DB4" w:rsidRDefault="00916B20" w:rsidP="00961DB4">
      <w:pPr>
        <w:pStyle w:val="Textonotapie"/>
        <w:spacing w:after="80"/>
        <w:jc w:val="both"/>
        <w:rPr>
          <w:rFonts w:ascii="Century Gothic" w:hAnsi="Century Gothic"/>
          <w:sz w:val="18"/>
          <w:szCs w:val="18"/>
        </w:rPr>
      </w:pPr>
      <w:r w:rsidRPr="00961DB4">
        <w:rPr>
          <w:rStyle w:val="Refdenotaalpie"/>
          <w:rFonts w:ascii="Century Gothic" w:hAnsi="Century Gothic"/>
          <w:sz w:val="18"/>
          <w:szCs w:val="18"/>
        </w:rPr>
        <w:footnoteRef/>
      </w:r>
      <w:r w:rsidRPr="00961DB4">
        <w:rPr>
          <w:rFonts w:ascii="Century Gothic" w:hAnsi="Century Gothic"/>
          <w:sz w:val="18"/>
          <w:szCs w:val="18"/>
        </w:rPr>
        <w:t xml:space="preserve"> </w:t>
      </w:r>
      <w:r w:rsidR="00D11F3C" w:rsidRPr="00961DB4">
        <w:rPr>
          <w:rFonts w:ascii="Century Gothic" w:hAnsi="Century Gothic"/>
          <w:sz w:val="18"/>
          <w:szCs w:val="18"/>
        </w:rPr>
        <w:t xml:space="preserve">AVISO DE PRIVACIDAD DE CLIENTES VIGENTE. Fecha de actualización junio de 2025. Disponible en el siguiente enlace: </w:t>
      </w:r>
      <w:hyperlink r:id="rId11" w:history="1">
        <w:r w:rsidR="00D11F3C" w:rsidRPr="00961DB4">
          <w:rPr>
            <w:rStyle w:val="Hipervnculo"/>
            <w:rFonts w:ascii="Century Gothic" w:hAnsi="Century Gothic"/>
            <w:sz w:val="18"/>
            <w:szCs w:val="18"/>
          </w:rPr>
          <w:t>https://www.telcel.com/aviso-de-privacidad</w:t>
        </w:r>
      </w:hyperlink>
      <w:r w:rsidR="00D11F3C" w:rsidRPr="00961DB4">
        <w:rPr>
          <w:rFonts w:ascii="Century Gothic" w:hAnsi="Century Gothic"/>
          <w:sz w:val="18"/>
          <w:szCs w:val="18"/>
        </w:rPr>
        <w:t xml:space="preserve"> </w:t>
      </w:r>
    </w:p>
  </w:footnote>
  <w:footnote w:id="14">
    <w:p w14:paraId="37835B5C" w14:textId="091B2337" w:rsidR="003322CA" w:rsidRPr="00961DB4" w:rsidRDefault="003322CA"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AVISO DE PRIVACIDAD INTEGRAL PARA CLIENTES. Fecha de actualización 15 de marzo de 2026. Disponible en el siguiente enlace: </w:t>
      </w:r>
      <w:hyperlink r:id="rId12" w:history="1">
        <w:r w:rsidRPr="00961DB4">
          <w:rPr>
            <w:rStyle w:val="Hipervnculo"/>
            <w:rFonts w:ascii="Century Gothic" w:eastAsia="Century Gothic" w:hAnsi="Century Gothic" w:cs="Century Gothic"/>
            <w:sz w:val="18"/>
            <w:szCs w:val="18"/>
          </w:rPr>
          <w:t>https://www.movistar.com.mx/informacion-para-clientes/aviso-de-privacidad</w:t>
        </w:r>
      </w:hyperlink>
      <w:r w:rsidRPr="00961DB4">
        <w:rPr>
          <w:rFonts w:ascii="Century Gothic" w:eastAsia="Century Gothic" w:hAnsi="Century Gothic" w:cs="Century Gothic"/>
          <w:color w:val="000000"/>
          <w:sz w:val="18"/>
          <w:szCs w:val="18"/>
        </w:rPr>
        <w:t xml:space="preserve"> </w:t>
      </w:r>
    </w:p>
  </w:footnote>
  <w:footnote w:id="15">
    <w:p w14:paraId="3CA1E000" w14:textId="5D852C7E" w:rsidR="00734721" w:rsidRPr="00961DB4" w:rsidRDefault="00734721" w:rsidP="00961DB4">
      <w:pPr>
        <w:pStyle w:val="Textonotapie"/>
        <w:spacing w:after="80"/>
        <w:jc w:val="both"/>
        <w:rPr>
          <w:rFonts w:ascii="Century Gothic" w:hAnsi="Century Gothic"/>
          <w:sz w:val="18"/>
          <w:szCs w:val="18"/>
        </w:rPr>
      </w:pPr>
      <w:r w:rsidRPr="00961DB4">
        <w:rPr>
          <w:rStyle w:val="Refdenotaalpie"/>
          <w:rFonts w:ascii="Century Gothic" w:hAnsi="Century Gothic"/>
          <w:sz w:val="18"/>
          <w:szCs w:val="18"/>
        </w:rPr>
        <w:footnoteRef/>
      </w:r>
      <w:r w:rsidRPr="00961DB4">
        <w:rPr>
          <w:rFonts w:ascii="Century Gothic" w:hAnsi="Century Gothic"/>
          <w:sz w:val="18"/>
          <w:szCs w:val="18"/>
        </w:rPr>
        <w:t xml:space="preserve"> AVISO DE PRIVACIDAD. </w:t>
      </w:r>
      <w:r w:rsidRPr="00961DB4">
        <w:rPr>
          <w:rFonts w:ascii="Century Gothic" w:eastAsia="Century Gothic" w:hAnsi="Century Gothic" w:cs="Century Gothic"/>
          <w:color w:val="000000"/>
          <w:sz w:val="18"/>
          <w:szCs w:val="18"/>
        </w:rPr>
        <w:t xml:space="preserve">Fecha de actualización 27 de mayo de 2026. </w:t>
      </w:r>
      <w:r w:rsidRPr="00961DB4">
        <w:rPr>
          <w:rFonts w:ascii="Century Gothic" w:hAnsi="Century Gothic"/>
          <w:sz w:val="18"/>
          <w:szCs w:val="18"/>
        </w:rPr>
        <w:t xml:space="preserve">Disponible en el siguiente enlace: </w:t>
      </w:r>
      <w:hyperlink r:id="rId13" w:history="1">
        <w:r w:rsidR="00492947" w:rsidRPr="00214CB2">
          <w:rPr>
            <w:rStyle w:val="Hipervnculo"/>
            <w:rFonts w:ascii="Century Gothic" w:hAnsi="Century Gothic"/>
            <w:sz w:val="18"/>
            <w:szCs w:val="18"/>
          </w:rPr>
          <w:t>https://www.walmartmexico.com/content/dam/walmart-mexico/documents/aviso-de-privacidad/aviso-de-privacidad-unificado/Aviso%20de%20Privacidad%20Unificado%20240524_VF.pdf</w:t>
        </w:r>
      </w:hyperlink>
      <w:r w:rsidRPr="00961DB4">
        <w:rPr>
          <w:rFonts w:ascii="Century Gothic" w:hAnsi="Century Gothic"/>
          <w:sz w:val="18"/>
          <w:szCs w:val="18"/>
        </w:rPr>
        <w:t xml:space="preserve"> </w:t>
      </w:r>
    </w:p>
  </w:footnote>
  <w:footnote w:id="16">
    <w:p w14:paraId="4F9F3059" w14:textId="205FD5E9" w:rsidR="00ED6C5E" w:rsidRPr="00961DB4" w:rsidRDefault="00ED6C5E" w:rsidP="00961DB4">
      <w:pPr>
        <w:pStyle w:val="Textonotapie"/>
        <w:spacing w:after="80"/>
        <w:jc w:val="both"/>
        <w:rPr>
          <w:rFonts w:ascii="Century Gothic" w:hAnsi="Century Gothic"/>
          <w:b/>
          <w:bCs/>
          <w:sz w:val="18"/>
          <w:szCs w:val="18"/>
        </w:rPr>
      </w:pPr>
      <w:r w:rsidRPr="00961DB4">
        <w:rPr>
          <w:rStyle w:val="Refdenotaalpie"/>
          <w:rFonts w:ascii="Century Gothic" w:hAnsi="Century Gothic"/>
          <w:sz w:val="18"/>
          <w:szCs w:val="18"/>
        </w:rPr>
        <w:footnoteRef/>
      </w:r>
      <w:r w:rsidRPr="00961DB4">
        <w:rPr>
          <w:rFonts w:ascii="Century Gothic" w:hAnsi="Century Gothic"/>
          <w:sz w:val="18"/>
          <w:szCs w:val="18"/>
        </w:rPr>
        <w:t xml:space="preserve"> </w:t>
      </w:r>
      <w:r w:rsidRPr="00961DB4">
        <w:rPr>
          <w:rFonts w:ascii="Century Gothic" w:hAnsi="Century Gothic"/>
          <w:b/>
          <w:bCs/>
          <w:sz w:val="18"/>
          <w:szCs w:val="18"/>
        </w:rPr>
        <w:t>D.O.F. 9 de diciembre de 2025</w:t>
      </w:r>
    </w:p>
    <w:p w14:paraId="3886ADA4" w14:textId="1352E743" w:rsidR="00ED6C5E" w:rsidRPr="00961DB4" w:rsidRDefault="00ED6C5E" w:rsidP="00961DB4">
      <w:pPr>
        <w:pStyle w:val="Textonotapie"/>
        <w:spacing w:after="80"/>
        <w:jc w:val="both"/>
        <w:rPr>
          <w:rFonts w:ascii="Century Gothic" w:hAnsi="Century Gothic"/>
          <w:sz w:val="18"/>
          <w:szCs w:val="18"/>
        </w:rPr>
      </w:pPr>
      <w:r w:rsidRPr="00961DB4">
        <w:rPr>
          <w:rFonts w:ascii="Century Gothic" w:hAnsi="Century Gothic"/>
          <w:sz w:val="18"/>
          <w:szCs w:val="18"/>
        </w:rPr>
        <w:t>ACUERDO mediante el cual el Pleno de la Comisión Reguladora de Telecomunicaciones aprueba y emite los Lineamientos para la Identificación de Líneas Telefónicas Móviles.</w:t>
      </w:r>
    </w:p>
    <w:p w14:paraId="3FACC6F0" w14:textId="3FAC46D1" w:rsidR="00ED6C5E" w:rsidRPr="00961DB4" w:rsidRDefault="00ED6C5E" w:rsidP="00961DB4">
      <w:pPr>
        <w:pStyle w:val="Textonotapie"/>
        <w:spacing w:after="80"/>
        <w:jc w:val="both"/>
        <w:rPr>
          <w:rFonts w:ascii="Century Gothic" w:hAnsi="Century Gothic"/>
          <w:sz w:val="18"/>
          <w:szCs w:val="18"/>
        </w:rPr>
      </w:pPr>
      <w:r w:rsidRPr="00961DB4">
        <w:rPr>
          <w:rFonts w:ascii="Century Gothic" w:hAnsi="Century Gothic"/>
          <w:sz w:val="18"/>
          <w:szCs w:val="18"/>
        </w:rPr>
        <w:t>(…)</w:t>
      </w:r>
    </w:p>
    <w:p w14:paraId="0E5B31DD" w14:textId="4EB182AC" w:rsidR="00ED6C5E" w:rsidRPr="00961DB4" w:rsidRDefault="00ED6C5E" w:rsidP="00961DB4">
      <w:pPr>
        <w:pStyle w:val="Textonotapie"/>
        <w:spacing w:after="80"/>
        <w:jc w:val="both"/>
        <w:rPr>
          <w:rFonts w:ascii="Century Gothic" w:hAnsi="Century Gothic"/>
          <w:sz w:val="18"/>
          <w:szCs w:val="18"/>
        </w:rPr>
      </w:pPr>
      <w:r w:rsidRPr="00961DB4">
        <w:rPr>
          <w:rFonts w:ascii="Century Gothic" w:hAnsi="Century Gothic"/>
          <w:sz w:val="18"/>
          <w:szCs w:val="18"/>
        </w:rPr>
        <w:t>CONSIDERANDO</w:t>
      </w:r>
    </w:p>
    <w:p w14:paraId="0B3FB10A" w14:textId="63F651FB" w:rsidR="00ED6C5E" w:rsidRPr="00961DB4" w:rsidRDefault="00ED6C5E" w:rsidP="00961DB4">
      <w:pPr>
        <w:pStyle w:val="Textonotapie"/>
        <w:spacing w:after="80"/>
        <w:jc w:val="both"/>
        <w:rPr>
          <w:rFonts w:ascii="Century Gothic" w:hAnsi="Century Gothic"/>
          <w:sz w:val="18"/>
          <w:szCs w:val="18"/>
        </w:rPr>
      </w:pPr>
      <w:r w:rsidRPr="00961DB4">
        <w:rPr>
          <w:rFonts w:ascii="Century Gothic" w:hAnsi="Century Gothic"/>
          <w:sz w:val="18"/>
          <w:szCs w:val="18"/>
        </w:rPr>
        <w:t>(…)</w:t>
      </w:r>
    </w:p>
    <w:p w14:paraId="6448B3E3" w14:textId="13834CF3" w:rsidR="009666F0" w:rsidRPr="00961DB4" w:rsidRDefault="009666F0" w:rsidP="00961DB4">
      <w:pPr>
        <w:pStyle w:val="Textonotapie"/>
        <w:spacing w:after="80"/>
        <w:jc w:val="both"/>
        <w:rPr>
          <w:rFonts w:ascii="Century Gothic" w:hAnsi="Century Gothic"/>
          <w:sz w:val="18"/>
          <w:szCs w:val="18"/>
        </w:rPr>
      </w:pPr>
      <w:r w:rsidRPr="00961DB4">
        <w:rPr>
          <w:rFonts w:ascii="Century Gothic" w:hAnsi="Century Gothic"/>
          <w:sz w:val="18"/>
          <w:szCs w:val="18"/>
        </w:rPr>
        <w:t>Transcurridos ciento veinte días hábiles posteriores a la conclusión de la implementación de dicha medida, toda línea que no se encuentre asociada a un usuario final identificado será suspendida, y solamente podrá ser utilizada para realizar llamadas a números de emergencia y de atención ciudadana;</w:t>
      </w:r>
    </w:p>
    <w:p w14:paraId="0DD20482" w14:textId="77777777" w:rsidR="009666F0" w:rsidRPr="00961DB4" w:rsidRDefault="009666F0" w:rsidP="00961DB4">
      <w:pPr>
        <w:pStyle w:val="Textonotapie"/>
        <w:spacing w:after="80"/>
        <w:jc w:val="both"/>
        <w:rPr>
          <w:rFonts w:ascii="Century Gothic" w:hAnsi="Century Gothic"/>
          <w:b/>
          <w:bCs/>
          <w:sz w:val="18"/>
          <w:szCs w:val="18"/>
        </w:rPr>
      </w:pPr>
      <w:r w:rsidRPr="00961DB4">
        <w:rPr>
          <w:rFonts w:ascii="Century Gothic" w:hAnsi="Century Gothic"/>
          <w:b/>
          <w:bCs/>
          <w:sz w:val="18"/>
          <w:szCs w:val="18"/>
        </w:rPr>
        <w:t xml:space="preserve">D.O.F. 30 de junio de 2026 </w:t>
      </w:r>
    </w:p>
    <w:p w14:paraId="6C9F0212" w14:textId="77777777" w:rsidR="009666F0" w:rsidRPr="00961DB4" w:rsidRDefault="009666F0" w:rsidP="00961DB4">
      <w:pPr>
        <w:pStyle w:val="Textonotapie"/>
        <w:spacing w:after="80"/>
        <w:jc w:val="both"/>
        <w:rPr>
          <w:rFonts w:ascii="Century Gothic" w:hAnsi="Century Gothic"/>
          <w:sz w:val="18"/>
          <w:szCs w:val="18"/>
        </w:rPr>
      </w:pPr>
      <w:r w:rsidRPr="00961DB4">
        <w:rPr>
          <w:rFonts w:ascii="Century Gothic" w:hAnsi="Century Gothic"/>
          <w:sz w:val="18"/>
          <w:szCs w:val="18"/>
        </w:rPr>
        <w:t>ACUERDO mediante el cual el Pleno de la Comisión Reguladora de Telecomunicaciones aprueba y emite la modificación a los Lineamientos para la identificación de líneas telefónicas móviles.</w:t>
      </w:r>
    </w:p>
    <w:p w14:paraId="2B1F52AB" w14:textId="77777777" w:rsidR="009666F0" w:rsidRPr="00961DB4" w:rsidRDefault="009666F0" w:rsidP="00961DB4">
      <w:pPr>
        <w:pStyle w:val="Textonotapie"/>
        <w:spacing w:after="80"/>
        <w:jc w:val="both"/>
        <w:rPr>
          <w:rFonts w:ascii="Century Gothic" w:hAnsi="Century Gothic"/>
          <w:sz w:val="18"/>
          <w:szCs w:val="18"/>
        </w:rPr>
      </w:pPr>
      <w:r w:rsidRPr="00961DB4">
        <w:rPr>
          <w:rFonts w:ascii="Century Gothic" w:hAnsi="Century Gothic"/>
          <w:sz w:val="18"/>
          <w:szCs w:val="18"/>
        </w:rPr>
        <w:t>(…)</w:t>
      </w:r>
    </w:p>
    <w:p w14:paraId="6BB333C6" w14:textId="77777777" w:rsidR="009666F0" w:rsidRPr="00961DB4" w:rsidRDefault="009666F0" w:rsidP="00961DB4">
      <w:pPr>
        <w:pStyle w:val="Textonotapie"/>
        <w:spacing w:after="80"/>
        <w:jc w:val="both"/>
        <w:rPr>
          <w:rFonts w:ascii="Century Gothic" w:hAnsi="Century Gothic"/>
          <w:sz w:val="18"/>
          <w:szCs w:val="18"/>
        </w:rPr>
      </w:pPr>
      <w:r w:rsidRPr="00961DB4">
        <w:rPr>
          <w:rFonts w:ascii="Century Gothic" w:hAnsi="Century Gothic"/>
          <w:sz w:val="18"/>
          <w:szCs w:val="18"/>
        </w:rPr>
        <w:t>TRANSITORIOS</w:t>
      </w:r>
    </w:p>
    <w:p w14:paraId="54D621F9" w14:textId="4FBEB45C" w:rsidR="009666F0" w:rsidRPr="00961DB4" w:rsidRDefault="009666F0" w:rsidP="00961DB4">
      <w:pPr>
        <w:pStyle w:val="Textonotapie"/>
        <w:spacing w:after="80"/>
        <w:jc w:val="both"/>
        <w:rPr>
          <w:rFonts w:ascii="Century Gothic" w:hAnsi="Century Gothic"/>
          <w:sz w:val="18"/>
          <w:szCs w:val="18"/>
        </w:rPr>
      </w:pPr>
      <w:r w:rsidRPr="00961DB4">
        <w:rPr>
          <w:rFonts w:ascii="Century Gothic" w:hAnsi="Century Gothic"/>
          <w:sz w:val="18"/>
          <w:szCs w:val="18"/>
        </w:rPr>
        <w:t>SEGUNDO. La Deshabilitación de los servicios de las Líneas Telefónicas Móviles que no se encuentren Vinculadas a un Titular, conforme a lo dispuesto en el Artículo Sexto Transitorio del "Acuerdo mediante el cual el Pleno de la Comisión Reguladora de Telecomunicaciones aprueba y emite los Lineamientos para la Identificación de Líneas Telefónicas Móviles", publicado en el Diario Oficial de la Federación el 9 de diciembre de 2025, se realizará en un plazo no mayor a 72 horas posteriores a la fecha señalada en el siguiente calendario:</w:t>
      </w:r>
    </w:p>
    <w:p w14:paraId="3D8F8A00" w14:textId="35E22ECA" w:rsidR="009666F0" w:rsidRPr="00961DB4" w:rsidRDefault="009666F0" w:rsidP="00961DB4">
      <w:pPr>
        <w:pStyle w:val="Textonotapie"/>
        <w:spacing w:after="80"/>
        <w:jc w:val="both"/>
        <w:rPr>
          <w:rFonts w:ascii="Century Gothic" w:hAnsi="Century Gothic"/>
          <w:sz w:val="18"/>
          <w:szCs w:val="18"/>
        </w:rPr>
      </w:pPr>
      <w:r w:rsidRPr="00961DB4">
        <w:rPr>
          <w:rFonts w:ascii="Century Gothic" w:hAnsi="Century Gothic"/>
          <w:sz w:val="18"/>
          <w:szCs w:val="18"/>
        </w:rPr>
        <w:t>(…)</w:t>
      </w:r>
    </w:p>
  </w:footnote>
  <w:footnote w:id="17">
    <w:p w14:paraId="285FDCEC" w14:textId="464C64C1"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Corte IDH. Caso Atala Riffo y niñas vs Chile. Sentencia de 24 de febrero de 2012</w:t>
      </w:r>
      <w:r w:rsidR="00E40489" w:rsidRPr="00961DB4">
        <w:rPr>
          <w:rFonts w:ascii="Century Gothic" w:eastAsia="Century Gothic" w:hAnsi="Century Gothic" w:cs="Century Gothic"/>
          <w:color w:val="000000"/>
          <w:sz w:val="18"/>
          <w:szCs w:val="18"/>
        </w:rPr>
        <w:t>,</w:t>
      </w:r>
      <w:r w:rsidRPr="00961DB4">
        <w:rPr>
          <w:rFonts w:ascii="Century Gothic" w:eastAsia="Century Gothic" w:hAnsi="Century Gothic" w:cs="Century Gothic"/>
          <w:color w:val="000000"/>
          <w:sz w:val="18"/>
          <w:szCs w:val="18"/>
        </w:rPr>
        <w:t xml:space="preserve"> párr. 162. Disponible en el siguiente enlace: </w:t>
      </w:r>
      <w:hyperlink r:id="rId14">
        <w:r w:rsidR="00001DF2" w:rsidRPr="00961DB4">
          <w:rPr>
            <w:rFonts w:ascii="Century Gothic" w:eastAsia="Century Gothic" w:hAnsi="Century Gothic" w:cs="Century Gothic"/>
            <w:color w:val="467886"/>
            <w:sz w:val="18"/>
            <w:szCs w:val="18"/>
            <w:u w:val="single"/>
          </w:rPr>
          <w:t>https://corteidh.or.cr/docs/casos/articulos/seriec_239_esp.pdf</w:t>
        </w:r>
      </w:hyperlink>
      <w:r w:rsidRPr="00961DB4">
        <w:rPr>
          <w:rFonts w:ascii="Century Gothic" w:eastAsia="Century Gothic" w:hAnsi="Century Gothic" w:cs="Century Gothic"/>
          <w:color w:val="000000"/>
          <w:sz w:val="18"/>
          <w:szCs w:val="18"/>
        </w:rPr>
        <w:t xml:space="preserve"> </w:t>
      </w:r>
    </w:p>
  </w:footnote>
  <w:footnote w:id="18">
    <w:p w14:paraId="3F5E3D23" w14:textId="6CE6AC92"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Corte IDH. Caso Tristán Donoso vs Panamá. Sentencia del 27 de enero de 2009</w:t>
      </w:r>
      <w:r w:rsidR="00E40489" w:rsidRPr="00961DB4">
        <w:rPr>
          <w:rFonts w:ascii="Century Gothic" w:eastAsia="Century Gothic" w:hAnsi="Century Gothic" w:cs="Century Gothic"/>
          <w:color w:val="000000"/>
          <w:sz w:val="18"/>
          <w:szCs w:val="18"/>
        </w:rPr>
        <w:t>,</w:t>
      </w:r>
      <w:r w:rsidRPr="00961DB4">
        <w:rPr>
          <w:rFonts w:ascii="Century Gothic" w:eastAsia="Century Gothic" w:hAnsi="Century Gothic" w:cs="Century Gothic"/>
          <w:color w:val="000000"/>
          <w:sz w:val="18"/>
          <w:szCs w:val="18"/>
        </w:rPr>
        <w:t xml:space="preserve"> párr. 55. Disponible en el siguiente enlace: </w:t>
      </w:r>
      <w:hyperlink r:id="rId15">
        <w:r w:rsidR="00001DF2" w:rsidRPr="00961DB4">
          <w:rPr>
            <w:rFonts w:ascii="Century Gothic" w:eastAsia="Century Gothic" w:hAnsi="Century Gothic" w:cs="Century Gothic"/>
            <w:color w:val="467886"/>
            <w:sz w:val="18"/>
            <w:szCs w:val="18"/>
            <w:u w:val="single"/>
          </w:rPr>
          <w:t>https://www.corteidh.or.cr/docs/casos/articulos/seriec_193_esp.pdf</w:t>
        </w:r>
      </w:hyperlink>
      <w:r w:rsidRPr="00961DB4">
        <w:rPr>
          <w:rFonts w:ascii="Century Gothic" w:eastAsia="Century Gothic" w:hAnsi="Century Gothic" w:cs="Century Gothic"/>
          <w:color w:val="000000"/>
          <w:sz w:val="18"/>
          <w:szCs w:val="18"/>
        </w:rPr>
        <w:t xml:space="preserve"> </w:t>
      </w:r>
    </w:p>
  </w:footnote>
  <w:footnote w:id="19">
    <w:p w14:paraId="1D5C3B57" w14:textId="405828CF"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Corte IDH. </w:t>
      </w:r>
      <w:r w:rsidRPr="00961DB4">
        <w:rPr>
          <w:rFonts w:ascii="Century Gothic" w:eastAsia="Century Gothic" w:hAnsi="Century Gothic" w:cs="Century Gothic"/>
          <w:i/>
          <w:iCs/>
          <w:color w:val="000000"/>
          <w:sz w:val="18"/>
          <w:szCs w:val="18"/>
        </w:rPr>
        <w:t>Caso Escher y otros vs Brasil.</w:t>
      </w:r>
      <w:r w:rsidRPr="00961DB4">
        <w:rPr>
          <w:rFonts w:ascii="Century Gothic" w:eastAsia="Century Gothic" w:hAnsi="Century Gothic" w:cs="Century Gothic"/>
          <w:color w:val="000000"/>
          <w:sz w:val="18"/>
          <w:szCs w:val="18"/>
        </w:rPr>
        <w:t xml:space="preserve"> Sentencia de 6 de julio de 2009</w:t>
      </w:r>
      <w:r w:rsidR="00E40489" w:rsidRPr="00961DB4">
        <w:rPr>
          <w:rFonts w:ascii="Century Gothic" w:eastAsia="Century Gothic" w:hAnsi="Century Gothic" w:cs="Century Gothic"/>
          <w:color w:val="000000"/>
          <w:sz w:val="18"/>
          <w:szCs w:val="18"/>
        </w:rPr>
        <w:t>,</w:t>
      </w:r>
      <w:r w:rsidRPr="00961DB4">
        <w:rPr>
          <w:rFonts w:ascii="Century Gothic" w:eastAsia="Century Gothic" w:hAnsi="Century Gothic" w:cs="Century Gothic"/>
          <w:color w:val="000000"/>
          <w:sz w:val="18"/>
          <w:szCs w:val="18"/>
        </w:rPr>
        <w:t xml:space="preserve"> párr. 115. Disponible en el siguiente enlace: </w:t>
      </w:r>
      <w:hyperlink r:id="rId16">
        <w:r w:rsidR="00001DF2" w:rsidRPr="00961DB4">
          <w:rPr>
            <w:rFonts w:ascii="Century Gothic" w:eastAsia="Century Gothic" w:hAnsi="Century Gothic" w:cs="Century Gothic"/>
            <w:color w:val="467886"/>
            <w:sz w:val="18"/>
            <w:szCs w:val="18"/>
            <w:u w:val="single"/>
          </w:rPr>
          <w:t>https://www.corteidh.or.cr/docs/casos/articulos/seriec_200_esp1.pdf</w:t>
        </w:r>
      </w:hyperlink>
      <w:r w:rsidRPr="00961DB4">
        <w:rPr>
          <w:rFonts w:ascii="Century Gothic" w:eastAsia="Century Gothic" w:hAnsi="Century Gothic" w:cs="Century Gothic"/>
          <w:color w:val="000000"/>
          <w:sz w:val="18"/>
          <w:szCs w:val="18"/>
        </w:rPr>
        <w:t xml:space="preserve"> </w:t>
      </w:r>
    </w:p>
  </w:footnote>
  <w:footnote w:id="20">
    <w:p w14:paraId="765D2C74" w14:textId="5EEC2883"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SCJN. Primera Sala. Amparo en revisión 884/2018. Aprobado por unanimidad de votos en la sesión celebrada el 15 de mayo de 2019. Ponente: Ministra Norma Lucía Piña Hernández</w:t>
      </w:r>
      <w:r w:rsidR="00E40489" w:rsidRPr="00961DB4">
        <w:rPr>
          <w:rFonts w:ascii="Century Gothic" w:eastAsia="Century Gothic" w:hAnsi="Century Gothic" w:cs="Century Gothic"/>
          <w:color w:val="000000"/>
          <w:sz w:val="18"/>
          <w:szCs w:val="18"/>
        </w:rPr>
        <w:t>,</w:t>
      </w:r>
      <w:r w:rsidRPr="00961DB4">
        <w:rPr>
          <w:rFonts w:ascii="Century Gothic" w:eastAsia="Century Gothic" w:hAnsi="Century Gothic" w:cs="Century Gothic"/>
          <w:color w:val="000000"/>
          <w:sz w:val="18"/>
          <w:szCs w:val="18"/>
        </w:rPr>
        <w:t xml:space="preserve"> párrq. 39 a 42 Disponible en el siguiente enlace: </w:t>
      </w:r>
      <w:r w:rsidR="00136838" w:rsidRPr="00961DB4">
        <w:rPr>
          <w:rFonts w:ascii="Century Gothic" w:eastAsia="Century Gothic" w:hAnsi="Century Gothic" w:cs="Century Gothic"/>
          <w:color w:val="467886"/>
          <w:sz w:val="18"/>
          <w:szCs w:val="18"/>
          <w:u w:val="single"/>
        </w:rPr>
        <w:t>https://www2.scjn.gob.mx/juridica/engroses/1/2018/2/2_244671_4685_firmado.pdf</w:t>
      </w:r>
    </w:p>
  </w:footnote>
  <w:footnote w:id="21">
    <w:p w14:paraId="6F7F52A7"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Ibidem. párr. 41</w:t>
      </w:r>
    </w:p>
  </w:footnote>
  <w:footnote w:id="22">
    <w:p w14:paraId="0292BBE5"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El artículo 2 fracción XIX de la LFPDPPP y 3 fracción XXXI de la LGPDPPSO entienden por tratamiento: “Cualquier operación o conjunto de operaciones efectuadas mediante procedimientos manuales o automatizados aplicados a los datos personales, relacionadas con la obtención, uso, registro, organización, conservación, elaboración, utilización, comunicación, difusión, almacenamiento, posesión, acceso, manejo, aprovechamiento, divulgación, transferencia o disposición de datos personales”.</w:t>
      </w:r>
    </w:p>
  </w:footnote>
  <w:footnote w:id="23">
    <w:p w14:paraId="523EF0F8"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El artículo 2 fracción V de la LFPDPPP y 3 fracción IX de la LGPDPPSO entienden por datos personales: “Cualquier información concerniente a una persona identificada o identificable. Se considera que una persona es identificable cuando su identidad pueda determinarse directa o indirectamente a través de cualquier información”.</w:t>
      </w:r>
    </w:p>
  </w:footnote>
  <w:footnote w:id="24">
    <w:p w14:paraId="53AF3D73"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Artículos 5 de la LFPDPPP y 10 de la LGPDPPSO.</w:t>
      </w:r>
    </w:p>
  </w:footnote>
  <w:footnote w:id="25">
    <w:p w14:paraId="04D55014"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Artículo 2 fracción VI de la LFPDPPP y 3 fracción X de la LGPDPPSO.</w:t>
      </w:r>
    </w:p>
  </w:footnote>
  <w:footnote w:id="26">
    <w:p w14:paraId="066DC6F1"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Artículos 3, fracción XV, 68 a 73 de la LGPDPPSO.</w:t>
      </w:r>
    </w:p>
  </w:footnote>
  <w:footnote w:id="27">
    <w:p w14:paraId="3C75BD74"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Corte IDH. Caso Escher y otros vs Brasil. Sentencia de 6 de julio de 2009, párr. 130. Disponible en el siguiente enlace: </w:t>
      </w:r>
      <w:hyperlink r:id="rId17">
        <w:r w:rsidR="00001DF2" w:rsidRPr="00961DB4">
          <w:rPr>
            <w:rFonts w:ascii="Century Gothic" w:eastAsia="Century Gothic" w:hAnsi="Century Gothic" w:cs="Century Gothic"/>
            <w:color w:val="467886"/>
            <w:sz w:val="18"/>
            <w:szCs w:val="18"/>
            <w:u w:val="single"/>
          </w:rPr>
          <w:t>https://www.corteidh.or.cr/docs/casos/articulos/seriec_200_esp1.pdf</w:t>
        </w:r>
      </w:hyperlink>
      <w:r w:rsidRPr="00961DB4">
        <w:rPr>
          <w:rFonts w:ascii="Century Gothic" w:eastAsia="Century Gothic" w:hAnsi="Century Gothic" w:cs="Century Gothic"/>
          <w:color w:val="000000"/>
          <w:sz w:val="18"/>
          <w:szCs w:val="18"/>
        </w:rPr>
        <w:t xml:space="preserve"> </w:t>
      </w:r>
    </w:p>
  </w:footnote>
  <w:footnote w:id="28">
    <w:p w14:paraId="0BF1E3EF" w14:textId="11D0EA8C"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Amparo Directo en Revisión 888/2017. Resuelto por la Segunda Sala con unanimidad de votos en sesión del 07 de junio de 2017. Ponente: Alberto Perez Dayán. De este precedente derivó la Tesis 2a. CXLI/2017 (10a.) con rubro: “PROTECCIÓN DE DATOS PERSONALES EN POSESIÓN DE LOS PARTICULARES . EL ARTÍCULO 60. PÁRRAFO ÚLTIMO DE LA LEY FEDERAL RELATIVA, NO VULNERA EL PRINCIPIO DE RESERVA DE LEY”. Registro digital: 2015161. Disponible en el siguiente enlace: </w:t>
      </w:r>
      <w:hyperlink r:id="rId18" w:history="1">
        <w:r w:rsidR="00E40489" w:rsidRPr="00961DB4">
          <w:rPr>
            <w:rStyle w:val="Hipervnculo"/>
            <w:rFonts w:ascii="Century Gothic" w:eastAsia="Century Gothic" w:hAnsi="Century Gothic" w:cs="Century Gothic"/>
            <w:sz w:val="18"/>
            <w:szCs w:val="18"/>
          </w:rPr>
          <w:t>https://www2.scjn.gob.mx/juridica/engroses/2/2017/10/2_211192_3296_firmado.pdf</w:t>
        </w:r>
      </w:hyperlink>
      <w:r w:rsidR="00E40489" w:rsidRPr="00961DB4">
        <w:rPr>
          <w:rFonts w:ascii="Century Gothic" w:eastAsia="Century Gothic" w:hAnsi="Century Gothic" w:cs="Century Gothic"/>
          <w:color w:val="000000"/>
          <w:sz w:val="18"/>
          <w:szCs w:val="18"/>
        </w:rPr>
        <w:t xml:space="preserve"> </w:t>
      </w:r>
    </w:p>
  </w:footnote>
  <w:footnote w:id="29">
    <w:p w14:paraId="59C204AA"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TEDH. </w:t>
      </w:r>
      <w:r w:rsidRPr="00961DB4">
        <w:rPr>
          <w:rFonts w:ascii="Century Gothic" w:eastAsia="Century Gothic" w:hAnsi="Century Gothic" w:cs="Century Gothic"/>
          <w:i/>
          <w:iCs/>
          <w:color w:val="000000"/>
          <w:sz w:val="18"/>
          <w:szCs w:val="18"/>
        </w:rPr>
        <w:t>Caso de Uzun vs. Alemania</w:t>
      </w:r>
      <w:r w:rsidRPr="00961DB4">
        <w:rPr>
          <w:rFonts w:ascii="Century Gothic" w:eastAsia="Century Gothic" w:hAnsi="Century Gothic" w:cs="Century Gothic"/>
          <w:color w:val="000000"/>
          <w:sz w:val="18"/>
          <w:szCs w:val="18"/>
        </w:rPr>
        <w:t xml:space="preserve">. Aplicación No. 35623/05. Sentencia de 2 de Septiembre de 2010, párr. 61. Disponible en el siguiente enlace: </w:t>
      </w:r>
      <w:hyperlink r:id="rId19" w:anchor="%7B%22itemid%22:%5B%22001-100293%22%5D%7D">
        <w:r w:rsidR="00001DF2" w:rsidRPr="00961DB4">
          <w:rPr>
            <w:rFonts w:ascii="Century Gothic" w:eastAsia="Century Gothic" w:hAnsi="Century Gothic" w:cs="Century Gothic"/>
            <w:color w:val="467886"/>
            <w:sz w:val="18"/>
            <w:szCs w:val="18"/>
            <w:u w:val="single"/>
          </w:rPr>
          <w:t>https://hudoc.echr.coe.int/spa#{%22itemid%22:[%22001-100293%22]}</w:t>
        </w:r>
      </w:hyperlink>
      <w:r w:rsidRPr="00961DB4">
        <w:rPr>
          <w:rFonts w:ascii="Century Gothic" w:eastAsia="Century Gothic" w:hAnsi="Century Gothic" w:cs="Century Gothic"/>
          <w:color w:val="000000"/>
          <w:sz w:val="18"/>
          <w:szCs w:val="18"/>
        </w:rPr>
        <w:t>;</w:t>
      </w:r>
    </w:p>
    <w:p w14:paraId="0339DA7C"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eastAsia="Century Gothic" w:hAnsi="Century Gothic" w:cs="Century Gothic"/>
          <w:color w:val="000000"/>
          <w:sz w:val="18"/>
          <w:szCs w:val="18"/>
        </w:rPr>
        <w:t xml:space="preserve">Caso de </w:t>
      </w:r>
      <w:r w:rsidRPr="00961DB4">
        <w:rPr>
          <w:rFonts w:ascii="Century Gothic" w:eastAsia="Century Gothic" w:hAnsi="Century Gothic" w:cs="Century Gothic"/>
          <w:i/>
          <w:iCs/>
          <w:color w:val="000000"/>
          <w:sz w:val="18"/>
          <w:szCs w:val="18"/>
        </w:rPr>
        <w:t>Valenzuela Contreras vs. España</w:t>
      </w:r>
      <w:r w:rsidRPr="00961DB4">
        <w:rPr>
          <w:rFonts w:ascii="Century Gothic" w:eastAsia="Century Gothic" w:hAnsi="Century Gothic" w:cs="Century Gothic"/>
          <w:color w:val="000000"/>
          <w:sz w:val="18"/>
          <w:szCs w:val="18"/>
        </w:rPr>
        <w:t xml:space="preserve">. Aplicación No. 58/1997/842/1048. Sentencia de 30 de Julio de 1998, párr. 46. Disponible en el siguiente enlace: </w:t>
      </w:r>
      <w:hyperlink r:id="rId20" w:anchor="%7B%22itemid%22:%5B%22001-163845%22%5D%7D">
        <w:r w:rsidR="00001DF2" w:rsidRPr="00961DB4">
          <w:rPr>
            <w:rFonts w:ascii="Century Gothic" w:eastAsia="Century Gothic" w:hAnsi="Century Gothic" w:cs="Century Gothic"/>
            <w:color w:val="467886"/>
            <w:sz w:val="18"/>
            <w:szCs w:val="18"/>
            <w:u w:val="single"/>
          </w:rPr>
          <w:t>https://hudoc.echr.coe.int/spa#{%22itemid%22:[%22001-163845%22]}</w:t>
        </w:r>
      </w:hyperlink>
      <w:r w:rsidRPr="00961DB4">
        <w:rPr>
          <w:rFonts w:ascii="Century Gothic" w:eastAsia="Century Gothic" w:hAnsi="Century Gothic" w:cs="Century Gothic"/>
          <w:color w:val="000000"/>
          <w:sz w:val="18"/>
          <w:szCs w:val="18"/>
        </w:rPr>
        <w:t xml:space="preserve"> </w:t>
      </w:r>
    </w:p>
  </w:footnote>
  <w:footnote w:id="30">
    <w:p w14:paraId="5D7F69AA"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TEDH. </w:t>
      </w:r>
      <w:r w:rsidRPr="00961DB4">
        <w:rPr>
          <w:rFonts w:ascii="Century Gothic" w:eastAsia="Century Gothic" w:hAnsi="Century Gothic" w:cs="Century Gothic"/>
          <w:i/>
          <w:iCs/>
          <w:color w:val="000000"/>
          <w:sz w:val="18"/>
          <w:szCs w:val="18"/>
        </w:rPr>
        <w:t>Caso de Uzun vs. Alemania</w:t>
      </w:r>
      <w:r w:rsidRPr="00961DB4">
        <w:rPr>
          <w:rFonts w:ascii="Century Gothic" w:eastAsia="Century Gothic" w:hAnsi="Century Gothic" w:cs="Century Gothic"/>
          <w:color w:val="000000"/>
          <w:sz w:val="18"/>
          <w:szCs w:val="18"/>
        </w:rPr>
        <w:t>. Op. Cit. párr 61;</w:t>
      </w:r>
    </w:p>
    <w:p w14:paraId="7C057573"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eastAsia="Century Gothic" w:hAnsi="Century Gothic" w:cs="Century Gothic"/>
          <w:i/>
          <w:iCs/>
          <w:color w:val="000000"/>
          <w:sz w:val="18"/>
          <w:szCs w:val="18"/>
        </w:rPr>
        <w:t xml:space="preserve">Weber y Sarabia vs. Alemania. </w:t>
      </w:r>
      <w:r w:rsidRPr="00961DB4">
        <w:rPr>
          <w:rFonts w:ascii="Century Gothic" w:eastAsia="Century Gothic" w:hAnsi="Century Gothic" w:cs="Century Gothic"/>
          <w:color w:val="000000"/>
          <w:sz w:val="18"/>
          <w:szCs w:val="18"/>
        </w:rPr>
        <w:t xml:space="preserve">Aplicación No. 54934/00. Decisión de 29 de Junio de 2006. párr. 93. Disponible en el siguiente enlace: </w:t>
      </w:r>
      <w:hyperlink r:id="rId21" w:anchor="%7B%22itemid%22:%5B%22001-76586%22%5D%7D">
        <w:r w:rsidR="00001DF2" w:rsidRPr="00961DB4">
          <w:rPr>
            <w:rFonts w:ascii="Century Gothic" w:eastAsia="Century Gothic" w:hAnsi="Century Gothic" w:cs="Century Gothic"/>
            <w:color w:val="467886"/>
            <w:sz w:val="18"/>
            <w:szCs w:val="18"/>
            <w:u w:val="single"/>
          </w:rPr>
          <w:t>https://hudoc.echr.coe.int/eng#{%22itemid%22:[%22001-76586%22]}</w:t>
        </w:r>
      </w:hyperlink>
      <w:r w:rsidRPr="00961DB4">
        <w:rPr>
          <w:rFonts w:ascii="Century Gothic" w:eastAsia="Century Gothic" w:hAnsi="Century Gothic" w:cs="Century Gothic"/>
          <w:color w:val="000000"/>
          <w:sz w:val="18"/>
          <w:szCs w:val="18"/>
        </w:rPr>
        <w:t xml:space="preserve"> </w:t>
      </w:r>
    </w:p>
  </w:footnote>
  <w:footnote w:id="31">
    <w:p w14:paraId="7877B3AF"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CIDH. Relatoría Especial para la Libertad de Expresión. Libertad de Expresión e Internet. 31 de diciembre de 2013. OEA/Ser.L/V/II. párr 155. Disponible en el siguiente enlace: </w:t>
      </w:r>
      <w:hyperlink r:id="rId22">
        <w:r w:rsidR="00001DF2" w:rsidRPr="00961DB4">
          <w:rPr>
            <w:rFonts w:ascii="Century Gothic" w:eastAsia="Century Gothic" w:hAnsi="Century Gothic" w:cs="Century Gothic"/>
            <w:color w:val="467886"/>
            <w:sz w:val="18"/>
            <w:szCs w:val="18"/>
            <w:u w:val="single"/>
          </w:rPr>
          <w:t>https://www.oas.org/es/cidh/expresion/docs/informes/2014_04_08_internet_web.pdf</w:t>
        </w:r>
      </w:hyperlink>
    </w:p>
  </w:footnote>
  <w:footnote w:id="32">
    <w:p w14:paraId="49754EF2" w14:textId="25850A3B" w:rsidR="00E40489" w:rsidRPr="00961DB4" w:rsidRDefault="00E40489" w:rsidP="00961DB4">
      <w:pPr>
        <w:pStyle w:val="Textonotapie"/>
        <w:spacing w:after="80"/>
        <w:jc w:val="both"/>
        <w:rPr>
          <w:rFonts w:ascii="Century Gothic" w:hAnsi="Century Gothic"/>
          <w:sz w:val="18"/>
          <w:szCs w:val="18"/>
        </w:rPr>
      </w:pPr>
      <w:r w:rsidRPr="00961DB4">
        <w:rPr>
          <w:rStyle w:val="Refdenotaalpie"/>
          <w:rFonts w:ascii="Century Gothic" w:hAnsi="Century Gothic"/>
          <w:sz w:val="18"/>
          <w:szCs w:val="18"/>
        </w:rPr>
        <w:footnoteRef/>
      </w:r>
      <w:r w:rsidRPr="00961DB4">
        <w:rPr>
          <w:rFonts w:ascii="Century Gothic" w:hAnsi="Century Gothic"/>
          <w:sz w:val="18"/>
          <w:szCs w:val="18"/>
        </w:rPr>
        <w:t xml:space="preserve"> </w:t>
      </w:r>
      <w:r w:rsidRPr="00961DB4">
        <w:rPr>
          <w:rFonts w:ascii="Century Gothic" w:eastAsia="Century Gothic" w:hAnsi="Century Gothic" w:cs="Century Gothic"/>
          <w:color w:val="000000"/>
          <w:sz w:val="18"/>
          <w:szCs w:val="18"/>
        </w:rPr>
        <w:t xml:space="preserve">Amparo en Revisión 237/2014. Resuelto por la Primera Sala </w:t>
      </w:r>
      <w:r w:rsidR="0081571B" w:rsidRPr="00961DB4">
        <w:rPr>
          <w:rFonts w:ascii="Century Gothic" w:eastAsia="Century Gothic" w:hAnsi="Century Gothic" w:cs="Century Gothic"/>
          <w:color w:val="000000"/>
          <w:sz w:val="18"/>
          <w:szCs w:val="18"/>
        </w:rPr>
        <w:t>por mayoría de 4</w:t>
      </w:r>
      <w:r w:rsidRPr="00961DB4">
        <w:rPr>
          <w:rFonts w:ascii="Century Gothic" w:eastAsia="Century Gothic" w:hAnsi="Century Gothic" w:cs="Century Gothic"/>
          <w:color w:val="000000"/>
          <w:sz w:val="18"/>
          <w:szCs w:val="18"/>
        </w:rPr>
        <w:t xml:space="preserve"> votos en sesión del </w:t>
      </w:r>
      <w:r w:rsidR="0081571B" w:rsidRPr="00961DB4">
        <w:rPr>
          <w:rFonts w:ascii="Century Gothic" w:eastAsia="Century Gothic" w:hAnsi="Century Gothic" w:cs="Century Gothic"/>
          <w:color w:val="000000"/>
          <w:sz w:val="18"/>
          <w:szCs w:val="18"/>
        </w:rPr>
        <w:t>4 de noviembre de 2015</w:t>
      </w:r>
      <w:r w:rsidRPr="00961DB4">
        <w:rPr>
          <w:rFonts w:ascii="Century Gothic" w:eastAsia="Century Gothic" w:hAnsi="Century Gothic" w:cs="Century Gothic"/>
          <w:color w:val="000000"/>
          <w:sz w:val="18"/>
          <w:szCs w:val="18"/>
        </w:rPr>
        <w:t xml:space="preserve">. Ponente: </w:t>
      </w:r>
      <w:r w:rsidR="0081571B" w:rsidRPr="00961DB4">
        <w:rPr>
          <w:rFonts w:ascii="Century Gothic" w:eastAsia="Century Gothic" w:hAnsi="Century Gothic" w:cs="Century Gothic"/>
          <w:color w:val="000000"/>
          <w:sz w:val="18"/>
          <w:szCs w:val="18"/>
        </w:rPr>
        <w:t>Arturo Zaldivar Lelo de Larrea</w:t>
      </w:r>
      <w:r w:rsidRPr="00961DB4">
        <w:rPr>
          <w:rFonts w:ascii="Century Gothic" w:eastAsia="Century Gothic" w:hAnsi="Century Gothic" w:cs="Century Gothic"/>
          <w:color w:val="000000"/>
          <w:sz w:val="18"/>
          <w:szCs w:val="18"/>
        </w:rPr>
        <w:t>.</w:t>
      </w:r>
      <w:r w:rsidR="0081571B" w:rsidRPr="00961DB4">
        <w:rPr>
          <w:rFonts w:ascii="Century Gothic" w:eastAsia="Century Gothic" w:hAnsi="Century Gothic" w:cs="Century Gothic"/>
          <w:color w:val="000000"/>
          <w:sz w:val="18"/>
          <w:szCs w:val="18"/>
        </w:rPr>
        <w:t xml:space="preserve"> </w:t>
      </w:r>
      <w:r w:rsidRPr="00961DB4">
        <w:rPr>
          <w:rFonts w:ascii="Century Gothic" w:eastAsia="Century Gothic" w:hAnsi="Century Gothic" w:cs="Century Gothic"/>
          <w:color w:val="000000"/>
          <w:sz w:val="18"/>
          <w:szCs w:val="18"/>
        </w:rPr>
        <w:t xml:space="preserve">Disponible en el siguiente enlace: </w:t>
      </w:r>
      <w:hyperlink r:id="rId23" w:history="1">
        <w:r w:rsidR="0081571B" w:rsidRPr="00961DB4">
          <w:rPr>
            <w:rStyle w:val="Hipervnculo"/>
            <w:rFonts w:ascii="Century Gothic" w:eastAsia="Century Gothic" w:hAnsi="Century Gothic" w:cs="Century Gothic"/>
            <w:sz w:val="18"/>
            <w:szCs w:val="18"/>
          </w:rPr>
          <w:t>https://www2.scjn.gob.mx/juridica/engroses/1/2014/2/3_164118_2780_firmado.pdf</w:t>
        </w:r>
      </w:hyperlink>
      <w:r w:rsidR="0081571B" w:rsidRPr="00961DB4">
        <w:rPr>
          <w:rFonts w:ascii="Century Gothic" w:eastAsia="Century Gothic" w:hAnsi="Century Gothic" w:cs="Century Gothic"/>
          <w:color w:val="000000"/>
          <w:sz w:val="18"/>
          <w:szCs w:val="18"/>
        </w:rPr>
        <w:t xml:space="preserve"> </w:t>
      </w:r>
    </w:p>
  </w:footnote>
  <w:footnote w:id="33">
    <w:p w14:paraId="23354AF8"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TEDH. </w:t>
      </w:r>
      <w:r w:rsidRPr="00961DB4">
        <w:rPr>
          <w:rFonts w:ascii="Century Gothic" w:eastAsia="Century Gothic" w:hAnsi="Century Gothic" w:cs="Century Gothic"/>
          <w:i/>
          <w:iCs/>
          <w:color w:val="000000"/>
          <w:sz w:val="18"/>
          <w:szCs w:val="18"/>
        </w:rPr>
        <w:t>Caso de la Asociación para la Integración Europea y los Derechos Humanos y Ekimdzhiev vs. Bulgaria</w:t>
      </w:r>
      <w:r w:rsidRPr="00961DB4">
        <w:rPr>
          <w:rFonts w:ascii="Century Gothic" w:eastAsia="Century Gothic" w:hAnsi="Century Gothic" w:cs="Century Gothic"/>
          <w:color w:val="000000"/>
          <w:sz w:val="18"/>
          <w:szCs w:val="18"/>
        </w:rPr>
        <w:t xml:space="preserve">. Aplicación No. 62540/00. Sentencia de 28 de Junio de 2007. Disponible en el siguiente enlace: </w:t>
      </w:r>
      <w:hyperlink r:id="rId24" w:anchor="%7B%22itemid%22:%5B%22002-2597%22%5D%7D">
        <w:r w:rsidR="00001DF2" w:rsidRPr="00961DB4">
          <w:rPr>
            <w:rFonts w:ascii="Century Gothic" w:eastAsia="Century Gothic" w:hAnsi="Century Gothic" w:cs="Century Gothic"/>
            <w:color w:val="467886"/>
            <w:sz w:val="18"/>
            <w:szCs w:val="18"/>
            <w:u w:val="single"/>
          </w:rPr>
          <w:t>https://hudoc.echr.coe.int/eng#{%22itemid%22:[%22002-2597%22]}</w:t>
        </w:r>
      </w:hyperlink>
      <w:r w:rsidRPr="00961DB4">
        <w:rPr>
          <w:rFonts w:ascii="Century Gothic" w:eastAsia="Century Gothic" w:hAnsi="Century Gothic" w:cs="Century Gothic"/>
          <w:color w:val="000000"/>
          <w:sz w:val="18"/>
          <w:szCs w:val="18"/>
        </w:rPr>
        <w:t xml:space="preserve">; </w:t>
      </w:r>
    </w:p>
    <w:p w14:paraId="4E89D273"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eastAsia="Century Gothic" w:hAnsi="Century Gothic" w:cs="Century Gothic"/>
          <w:color w:val="000000"/>
          <w:sz w:val="18"/>
          <w:szCs w:val="18"/>
        </w:rPr>
        <w:t xml:space="preserve">TEDH. </w:t>
      </w:r>
      <w:r w:rsidRPr="00961DB4">
        <w:rPr>
          <w:rFonts w:ascii="Century Gothic" w:eastAsia="Century Gothic" w:hAnsi="Century Gothic" w:cs="Century Gothic"/>
          <w:i/>
          <w:iCs/>
          <w:color w:val="000000"/>
          <w:sz w:val="18"/>
          <w:szCs w:val="18"/>
        </w:rPr>
        <w:t>Caso Weber y Sarabia vs. Alemania</w:t>
      </w:r>
      <w:r w:rsidRPr="00961DB4">
        <w:rPr>
          <w:rFonts w:ascii="Century Gothic" w:eastAsia="Century Gothic" w:hAnsi="Century Gothic" w:cs="Century Gothic"/>
          <w:color w:val="000000"/>
          <w:sz w:val="18"/>
          <w:szCs w:val="18"/>
        </w:rPr>
        <w:t>. Op. Cit.</w:t>
      </w:r>
    </w:p>
  </w:footnote>
  <w:footnote w:id="34">
    <w:p w14:paraId="185B7520"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Asamblea General de la Organización de las Naciones Unidas. Resolución A/RES/68/167 sobre el derecho a la privacidad en la era digital. 18 de Diciembre de 2013. Disponible en el siguiente enlace: </w:t>
      </w:r>
      <w:hyperlink r:id="rId25">
        <w:r w:rsidR="00001DF2" w:rsidRPr="00961DB4">
          <w:rPr>
            <w:rFonts w:ascii="Century Gothic" w:eastAsia="Century Gothic" w:hAnsi="Century Gothic" w:cs="Century Gothic"/>
            <w:color w:val="467886"/>
            <w:sz w:val="18"/>
            <w:szCs w:val="18"/>
            <w:u w:val="single"/>
          </w:rPr>
          <w:t>https://digitallibrary.un.org/record/764407/files/A_RES_68_167-ES.pdf</w:t>
        </w:r>
      </w:hyperlink>
      <w:r w:rsidRPr="00961DB4">
        <w:rPr>
          <w:rFonts w:ascii="Century Gothic" w:eastAsia="Century Gothic" w:hAnsi="Century Gothic" w:cs="Century Gothic"/>
          <w:color w:val="000000"/>
          <w:sz w:val="18"/>
          <w:szCs w:val="18"/>
        </w:rPr>
        <w:t xml:space="preserve"> </w:t>
      </w:r>
    </w:p>
  </w:footnote>
  <w:footnote w:id="35">
    <w:p w14:paraId="07A8FCF5"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ONU. </w:t>
      </w:r>
      <w:r w:rsidRPr="00961DB4">
        <w:rPr>
          <w:rFonts w:ascii="Century Gothic" w:eastAsia="Century Gothic" w:hAnsi="Century Gothic" w:cs="Century Gothic"/>
          <w:i/>
          <w:iCs/>
          <w:color w:val="000000"/>
          <w:sz w:val="18"/>
          <w:szCs w:val="18"/>
        </w:rPr>
        <w:t xml:space="preserve">Informe del Relator Especial sobre la promoción y protección del derecho a la libertad de expresión </w:t>
      </w:r>
      <w:r w:rsidRPr="00961DB4">
        <w:rPr>
          <w:rFonts w:ascii="Century Gothic" w:eastAsia="Century Gothic" w:hAnsi="Century Gothic" w:cs="Century Gothic"/>
          <w:color w:val="000000"/>
          <w:sz w:val="18"/>
          <w:szCs w:val="18"/>
        </w:rPr>
        <w:t xml:space="preserve">Frank La Rue. 17 de abril de 2013. A/HRC/23/40, párr. 81. Disponible en el siguiente enlace: </w:t>
      </w:r>
      <w:hyperlink r:id="rId26">
        <w:r w:rsidR="00001DF2" w:rsidRPr="00961DB4">
          <w:rPr>
            <w:rFonts w:ascii="Century Gothic" w:eastAsia="Century Gothic" w:hAnsi="Century Gothic" w:cs="Century Gothic"/>
            <w:color w:val="467886"/>
            <w:sz w:val="18"/>
            <w:szCs w:val="18"/>
            <w:u w:val="single"/>
          </w:rPr>
          <w:t>https://docs.un.org/es/A/HRC/23/40</w:t>
        </w:r>
      </w:hyperlink>
      <w:r w:rsidRPr="00961DB4">
        <w:rPr>
          <w:rFonts w:ascii="Century Gothic" w:eastAsia="Century Gothic" w:hAnsi="Century Gothic" w:cs="Century Gothic"/>
          <w:color w:val="000000"/>
          <w:sz w:val="18"/>
          <w:szCs w:val="18"/>
        </w:rPr>
        <w:t xml:space="preserve"> </w:t>
      </w:r>
    </w:p>
    <w:p w14:paraId="78FCFC8C"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eastAsia="Century Gothic" w:hAnsi="Century Gothic" w:cs="Century Gothic"/>
          <w:color w:val="000000"/>
          <w:sz w:val="18"/>
          <w:szCs w:val="18"/>
        </w:rPr>
        <w:t>“</w:t>
      </w:r>
      <w:r w:rsidRPr="00961DB4">
        <w:rPr>
          <w:rFonts w:ascii="Century Gothic" w:eastAsia="Century Gothic" w:hAnsi="Century Gothic" w:cs="Century Gothic"/>
          <w:i/>
          <w:iCs/>
          <w:color w:val="000000"/>
          <w:sz w:val="18"/>
          <w:szCs w:val="18"/>
        </w:rPr>
        <w:t>La legislación debe estipular que la vigilancia estatal de las comunicaciones debe ocurrir únicamente bajo las circunstancias más excepcionales y exclusivamente bajo la supervisión de una autoridad judicial independiente. Salvaguardas deben ser articuladas en la ley en relación a la naturaleza, alcance y duración de las posibles medidas, los motivos necesarios para ordenarlas, las autoridades competentes para autorizar, llevar a cabo y supervisarlas, y el tipo de recursos previstos en la ley para obtener una reparación</w:t>
      </w:r>
      <w:r w:rsidRPr="00961DB4">
        <w:rPr>
          <w:rFonts w:ascii="Century Gothic" w:eastAsia="Century Gothic" w:hAnsi="Century Gothic" w:cs="Century Gothic"/>
          <w:color w:val="000000"/>
          <w:sz w:val="18"/>
          <w:szCs w:val="18"/>
        </w:rPr>
        <w:t>”.</w:t>
      </w:r>
    </w:p>
  </w:footnote>
  <w:footnote w:id="36">
    <w:p w14:paraId="1C7173E2"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CIDH. Relatoría Especial para la Libertad de Expresión. Libertad de Expresión e Internet. 31 de diciembre de 2013. OEA/Ser.L/V/II. Disponible en el siguiente enlace: </w:t>
      </w:r>
      <w:hyperlink r:id="rId27">
        <w:r w:rsidR="00001DF2" w:rsidRPr="00961DB4">
          <w:rPr>
            <w:rFonts w:ascii="Century Gothic" w:eastAsia="Century Gothic" w:hAnsi="Century Gothic" w:cs="Century Gothic"/>
            <w:color w:val="467886"/>
            <w:sz w:val="18"/>
            <w:szCs w:val="18"/>
            <w:u w:val="single"/>
          </w:rPr>
          <w:t>https://www.oas.org/es/cidh/expresion/docs/informes/2014_04_08_internet_web.pdf</w:t>
        </w:r>
      </w:hyperlink>
      <w:r w:rsidRPr="00961DB4">
        <w:rPr>
          <w:rFonts w:ascii="Century Gothic" w:eastAsia="Century Gothic" w:hAnsi="Century Gothic" w:cs="Century Gothic"/>
          <w:color w:val="000000"/>
          <w:sz w:val="18"/>
          <w:szCs w:val="18"/>
        </w:rPr>
        <w:t xml:space="preserve"> </w:t>
      </w:r>
    </w:p>
  </w:footnote>
  <w:footnote w:id="37">
    <w:p w14:paraId="477763AB"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Principios Internacionales sobre la Aplicación de los Derechos Humanos a la Vigilancia de las Comunicaciones. 10 de mayo de 2014. Disponible en el siguiente enlace </w:t>
      </w:r>
      <w:hyperlink r:id="rId28">
        <w:r w:rsidR="00001DF2" w:rsidRPr="00961DB4">
          <w:rPr>
            <w:rFonts w:ascii="Century Gothic" w:eastAsia="Century Gothic" w:hAnsi="Century Gothic" w:cs="Century Gothic"/>
            <w:color w:val="467886"/>
            <w:sz w:val="18"/>
            <w:szCs w:val="18"/>
            <w:u w:val="single"/>
          </w:rPr>
          <w:t>https://necessaryandproportionate.org/es/principios/</w:t>
        </w:r>
      </w:hyperlink>
    </w:p>
  </w:footnote>
  <w:footnote w:id="38">
    <w:p w14:paraId="4A37644C" w14:textId="4D704540"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CIDH. Relatoría Especial para la Libertad de Expresión. </w:t>
      </w:r>
      <w:r w:rsidR="0081571B" w:rsidRPr="00961DB4">
        <w:rPr>
          <w:rFonts w:ascii="Century Gothic" w:eastAsia="Century Gothic" w:hAnsi="Century Gothic" w:cs="Century Gothic"/>
          <w:color w:val="000000"/>
          <w:sz w:val="18"/>
          <w:szCs w:val="18"/>
        </w:rPr>
        <w:t xml:space="preserve">Libertad de Expresión e Internet. </w:t>
      </w:r>
      <w:r w:rsidRPr="00961DB4">
        <w:rPr>
          <w:rFonts w:ascii="Century Gothic" w:eastAsia="Century Gothic" w:hAnsi="Century Gothic" w:cs="Century Gothic"/>
          <w:color w:val="000000"/>
          <w:sz w:val="18"/>
          <w:szCs w:val="18"/>
        </w:rPr>
        <w:t>Op. Cit., párr. 165.</w:t>
      </w:r>
    </w:p>
  </w:footnote>
  <w:footnote w:id="39">
    <w:p w14:paraId="4A0F94E5"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Ibidem, párr 170</w:t>
      </w:r>
    </w:p>
  </w:footnote>
  <w:footnote w:id="40">
    <w:p w14:paraId="52CFF480"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Asamblea General de la Organización de las Naciones Unidas. Resolución A/RES/68/167. Op. Cit.</w:t>
      </w:r>
    </w:p>
  </w:footnote>
  <w:footnote w:id="41">
    <w:p w14:paraId="0EE3AE24"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ONU. A/HRC/23/40. Op. Cit., párr. 91</w:t>
      </w:r>
    </w:p>
  </w:footnote>
  <w:footnote w:id="42">
    <w:p w14:paraId="4F9C542C"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Ibidem, párr. 82</w:t>
      </w:r>
    </w:p>
  </w:footnote>
  <w:footnote w:id="43">
    <w:p w14:paraId="3B56058F"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lang w:val="en-US"/>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TEDH. Caso de la Asociación para la Integración Europea y los Derechos Humanos y Ekimdzhiev vs. Bulgaria. </w:t>
      </w:r>
      <w:r w:rsidRPr="00961DB4">
        <w:rPr>
          <w:rFonts w:ascii="Century Gothic" w:eastAsia="Century Gothic" w:hAnsi="Century Gothic" w:cs="Century Gothic"/>
          <w:color w:val="000000"/>
          <w:sz w:val="18"/>
          <w:szCs w:val="18"/>
          <w:lang w:val="en-US"/>
        </w:rPr>
        <w:t>Op. Cit.</w:t>
      </w:r>
    </w:p>
  </w:footnote>
  <w:footnote w:id="44">
    <w:p w14:paraId="6E20162A"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lang w:val="en-US"/>
        </w:rPr>
        <w:t xml:space="preserve"> TEDH. Caso “S. and Marper vs. United Kingdom” Aplicación No. 30562/04. </w:t>
      </w:r>
      <w:r w:rsidRPr="00961DB4">
        <w:rPr>
          <w:rFonts w:ascii="Century Gothic" w:eastAsia="Century Gothic" w:hAnsi="Century Gothic" w:cs="Century Gothic"/>
          <w:color w:val="000000"/>
          <w:sz w:val="18"/>
          <w:szCs w:val="18"/>
        </w:rPr>
        <w:t xml:space="preserve">Sentencia del 04 de diciembre de 2008, párr. 67. Disponible en el siguiente enlace: </w:t>
      </w:r>
      <w:hyperlink r:id="rId29" w:anchor="%7B%22itemid%22:%5B%22001-90051%22%5D%7D">
        <w:r w:rsidR="00001DF2" w:rsidRPr="00961DB4">
          <w:rPr>
            <w:rFonts w:ascii="Century Gothic" w:eastAsia="Century Gothic" w:hAnsi="Century Gothic" w:cs="Century Gothic"/>
            <w:color w:val="467886"/>
            <w:sz w:val="18"/>
            <w:szCs w:val="18"/>
            <w:u w:val="single"/>
          </w:rPr>
          <w:t>https://hudoc.echr.coe.int/spa#{%22itemid%22:[%22001-90051%22]}</w:t>
        </w:r>
      </w:hyperlink>
      <w:r w:rsidRPr="00961DB4">
        <w:rPr>
          <w:rFonts w:ascii="Century Gothic" w:eastAsia="Century Gothic" w:hAnsi="Century Gothic" w:cs="Century Gothic"/>
          <w:color w:val="000000"/>
          <w:sz w:val="18"/>
          <w:szCs w:val="18"/>
        </w:rPr>
        <w:t xml:space="preserve"> </w:t>
      </w:r>
    </w:p>
  </w:footnote>
  <w:footnote w:id="45">
    <w:p w14:paraId="5FFF3394"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Ibidem. Traducción propia. párr. 103.</w:t>
      </w:r>
    </w:p>
  </w:footnote>
  <w:footnote w:id="46">
    <w:p w14:paraId="5C6AAB60" w14:textId="77777777" w:rsidR="00001DF2" w:rsidRPr="00054283"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054283">
        <w:rPr>
          <w:rFonts w:ascii="Century Gothic" w:eastAsia="Century Gothic" w:hAnsi="Century Gothic" w:cs="Century Gothic"/>
          <w:color w:val="000000"/>
          <w:sz w:val="18"/>
          <w:szCs w:val="18"/>
        </w:rPr>
        <w:t xml:space="preserve"> Ídem.</w:t>
      </w:r>
    </w:p>
  </w:footnote>
  <w:footnote w:id="47">
    <w:p w14:paraId="033D7053"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lang w:val="en-US"/>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lang w:val="en-US"/>
        </w:rPr>
        <w:t xml:space="preserve"> Ídem.</w:t>
      </w:r>
    </w:p>
  </w:footnote>
  <w:footnote w:id="48">
    <w:p w14:paraId="670AC996"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lang w:val="en-US"/>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lang w:val="en-US"/>
        </w:rPr>
        <w:t xml:space="preserve"> Idem.</w:t>
      </w:r>
    </w:p>
  </w:footnote>
  <w:footnote w:id="49">
    <w:p w14:paraId="23E46A7F"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lang w:val="en-US"/>
        </w:rPr>
        <w:t xml:space="preserve"> TJUE. Digital Rights Ireland vs. Minister of Communications, Marine and Natural Resources y otros. </w:t>
      </w:r>
      <w:r w:rsidRPr="00961DB4">
        <w:rPr>
          <w:rFonts w:ascii="Century Gothic" w:eastAsia="Century Gothic" w:hAnsi="Century Gothic" w:cs="Century Gothic"/>
          <w:color w:val="000000"/>
          <w:sz w:val="18"/>
          <w:szCs w:val="18"/>
        </w:rPr>
        <w:t xml:space="preserve">Casos Conjuntos, C-293/12 y C-594/12, 8 de abril de 2014, párr. 58. Disponible en el siguiente enlace: </w:t>
      </w:r>
      <w:hyperlink r:id="rId30">
        <w:r w:rsidR="00001DF2" w:rsidRPr="00961DB4">
          <w:rPr>
            <w:rFonts w:ascii="Century Gothic" w:eastAsia="Century Gothic" w:hAnsi="Century Gothic" w:cs="Century Gothic"/>
            <w:color w:val="467886"/>
            <w:sz w:val="18"/>
            <w:szCs w:val="18"/>
            <w:u w:val="single"/>
          </w:rPr>
          <w:t>https://eur-lex.europa.eu/legal-content/ES/TXT/PDF/?uri=CELEX:62012CJ0293</w:t>
        </w:r>
      </w:hyperlink>
    </w:p>
  </w:footnote>
  <w:footnote w:id="50">
    <w:p w14:paraId="0CD63CF1"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Ibidem, párr. 59.</w:t>
      </w:r>
    </w:p>
  </w:footnote>
  <w:footnote w:id="51">
    <w:p w14:paraId="11ECA2E0"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Ibidem, párr. 60.</w:t>
      </w:r>
    </w:p>
  </w:footnote>
  <w:footnote w:id="52">
    <w:p w14:paraId="3E311D21" w14:textId="22049FC1" w:rsidR="00001DF2" w:rsidRPr="00067F91"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Ibidem, párr. </w:t>
      </w:r>
      <w:r w:rsidRPr="00067F91">
        <w:rPr>
          <w:rFonts w:ascii="Century Gothic" w:eastAsia="Century Gothic" w:hAnsi="Century Gothic" w:cs="Century Gothic"/>
          <w:color w:val="000000"/>
          <w:sz w:val="18"/>
          <w:szCs w:val="18"/>
        </w:rPr>
        <w:t>6</w:t>
      </w:r>
      <w:r w:rsidR="00FC63DF" w:rsidRPr="00067F91">
        <w:rPr>
          <w:rFonts w:ascii="Century Gothic" w:eastAsia="Century Gothic" w:hAnsi="Century Gothic" w:cs="Century Gothic"/>
          <w:color w:val="000000"/>
          <w:sz w:val="18"/>
          <w:szCs w:val="18"/>
        </w:rPr>
        <w:t>5.</w:t>
      </w:r>
    </w:p>
  </w:footnote>
  <w:footnote w:id="53">
    <w:p w14:paraId="7D3745D7"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lang w:val="en-US"/>
        </w:rPr>
        <w:t xml:space="preserve"> TJUE. Tele2 Sverige AB v Post- och telestyrelsen and Secretary of State for the Home Department v. Watson. </w:t>
      </w:r>
      <w:r w:rsidRPr="00961DB4">
        <w:rPr>
          <w:rFonts w:ascii="Century Gothic" w:eastAsia="Century Gothic" w:hAnsi="Century Gothic" w:cs="Century Gothic"/>
          <w:color w:val="000000"/>
          <w:sz w:val="18"/>
          <w:szCs w:val="18"/>
        </w:rPr>
        <w:t xml:space="preserve">Casos Conjuntos, C-203/15 y C-698/15, 21 de diciembre de 2016. Disponible en el siguiente enlace: </w:t>
      </w:r>
      <w:hyperlink r:id="rId31">
        <w:r w:rsidR="00001DF2" w:rsidRPr="00961DB4">
          <w:rPr>
            <w:rFonts w:ascii="Century Gothic" w:eastAsia="Century Gothic" w:hAnsi="Century Gothic" w:cs="Century Gothic"/>
            <w:color w:val="467886"/>
            <w:sz w:val="18"/>
            <w:szCs w:val="18"/>
            <w:u w:val="single"/>
          </w:rPr>
          <w:t>https://eur-lex.europa.eu/legal-content/ES/TXT/PDF/?uri=CELEX:62015CJ0203</w:t>
        </w:r>
      </w:hyperlink>
    </w:p>
  </w:footnote>
  <w:footnote w:id="54">
    <w:p w14:paraId="57D3CF8C" w14:textId="154C7D39" w:rsidR="00FC63DF" w:rsidRPr="00961DB4" w:rsidRDefault="00FC63DF"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Ibidem, párr. 103</w:t>
      </w:r>
    </w:p>
  </w:footnote>
  <w:footnote w:id="55">
    <w:p w14:paraId="470FF158"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Ibidem, párr. 105</w:t>
      </w:r>
    </w:p>
  </w:footnote>
  <w:footnote w:id="56">
    <w:p w14:paraId="49AA9AEE"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Ídem.</w:t>
      </w:r>
    </w:p>
  </w:footnote>
  <w:footnote w:id="57">
    <w:p w14:paraId="31066DC2"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Ibidem, párr. 106.</w:t>
      </w:r>
    </w:p>
  </w:footnote>
  <w:footnote w:id="58">
    <w:p w14:paraId="5EAD8863"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Ibidem, párr. 107.</w:t>
      </w:r>
    </w:p>
  </w:footnote>
  <w:footnote w:id="59">
    <w:p w14:paraId="425620CC"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Atribución que ejerce la SABG de conformidad con los artículos 2º, fracción XV y 39, fracción IX de la LFPDPPP; 3, fracción XXVI, 68 y 81 fracción XV de la LGPDPSO.</w:t>
      </w:r>
    </w:p>
  </w:footnote>
  <w:footnote w:id="60">
    <w:p w14:paraId="7D34FBFC"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Disposiciones aplicables de conformidad con el transitorio Cuarto de la Nueva LGPDPPSO publicada en el D.O.F. el día 20 de marzo de 2025:</w:t>
      </w:r>
    </w:p>
    <w:p w14:paraId="74B3F67E"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b/>
          <w:bCs/>
          <w:color w:val="000000"/>
          <w:sz w:val="18"/>
          <w:szCs w:val="18"/>
        </w:rPr>
      </w:pPr>
      <w:r w:rsidRPr="00961DB4">
        <w:rPr>
          <w:rFonts w:ascii="Century Gothic" w:eastAsia="Century Gothic" w:hAnsi="Century Gothic" w:cs="Century Gothic"/>
          <w:b/>
          <w:bCs/>
          <w:color w:val="000000"/>
          <w:sz w:val="18"/>
          <w:szCs w:val="18"/>
        </w:rPr>
        <w:t>Transitorios</w:t>
      </w:r>
    </w:p>
    <w:p w14:paraId="37043B08"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eastAsia="Century Gothic" w:hAnsi="Century Gothic" w:cs="Century Gothic"/>
          <w:color w:val="000000"/>
          <w:sz w:val="18"/>
          <w:szCs w:val="18"/>
        </w:rPr>
        <w:t>(…)</w:t>
      </w:r>
    </w:p>
    <w:p w14:paraId="3859741A"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eastAsia="Century Gothic" w:hAnsi="Century Gothic" w:cs="Century Gothic"/>
          <w:b/>
          <w:bCs/>
          <w:color w:val="000000"/>
          <w:sz w:val="18"/>
          <w:szCs w:val="18"/>
        </w:rPr>
        <w:t>Cuarto.-</w:t>
      </w:r>
      <w:r w:rsidRPr="00961DB4">
        <w:rPr>
          <w:rFonts w:ascii="Century Gothic" w:eastAsia="Century Gothic" w:hAnsi="Century Gothic" w:cs="Century Gothic"/>
          <w:color w:val="000000"/>
          <w:sz w:val="18"/>
          <w:szCs w:val="18"/>
        </w:rPr>
        <w:t xml:space="preserve"> Las menciones, atribuciones o funciones contenidas en otras leyes, reglamentos y, en general, en cualquier disposición normativa, respecto al Instituto Nacional de Transparencia, Acceso a la Información y Protección de Datos Personales se entenderán hechas o conferidas a los entes públicos que adquieren tales atribuciones o funciones, según corresponda.</w:t>
      </w:r>
    </w:p>
  </w:footnote>
  <w:footnote w:id="61">
    <w:p w14:paraId="5AC7ED40"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ACUERDO mediante el cual se aprueban las disposiciones administrativas de carácter general para la elaboración, presentación y valoración de evaluaciones de impacto en la protección de datos personales. Publicado en el Diario Oficial de la Federación el 23 de enero de 2018.</w:t>
      </w:r>
    </w:p>
    <w:p w14:paraId="42E587FE"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eastAsia="Century Gothic" w:hAnsi="Century Gothic" w:cs="Century Gothic"/>
          <w:b/>
          <w:bCs/>
          <w:color w:val="000000"/>
          <w:sz w:val="18"/>
          <w:szCs w:val="18"/>
        </w:rPr>
        <w:t>Artículo 9.</w:t>
      </w:r>
      <w:r w:rsidRPr="00961DB4">
        <w:rPr>
          <w:rFonts w:ascii="Century Gothic" w:eastAsia="Century Gothic" w:hAnsi="Century Gothic" w:cs="Century Gothic"/>
          <w:color w:val="000000"/>
          <w:sz w:val="18"/>
          <w:szCs w:val="18"/>
        </w:rPr>
        <w:t xml:space="preserve"> Considerando lo dispuesto en el artículo 76 de la Ley General, se entenderá, de manera enunciativa mas no limitativa, que el responsable está en presencia de un tratamiento intensivo o relevante de datos personales, de manera particular, cuando pretenda: (...)</w:t>
      </w:r>
    </w:p>
    <w:p w14:paraId="7A9EE9A5"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eastAsia="Century Gothic" w:hAnsi="Century Gothic" w:cs="Century Gothic"/>
          <w:color w:val="000000"/>
          <w:sz w:val="18"/>
          <w:szCs w:val="18"/>
        </w:rPr>
        <w:t>IV. Crear bases de datos concernientes a un número elevado de titulares, aun cuando dichas bases no estén sujetas a criterios determinados en cuanto a su creación o estructura, de tal manera que se produzca la acumulación no intencional de una gran cantidad de datos personales respecto de los mismos.;</w:t>
      </w:r>
    </w:p>
  </w:footnote>
  <w:footnote w:id="62">
    <w:p w14:paraId="01272073" w14:textId="4C0E9A2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ACUERDO mediante el cual se aprueban las disposiciones administrativas de carácter general para la elaboración, presentación y valoración de evaluaciones de impacto en la protección de datos personales. Publicado en el Diario Oficial de la Federación el 23 de enero de 2018.</w:t>
      </w:r>
    </w:p>
  </w:footnote>
  <w:footnote w:id="63">
    <w:p w14:paraId="55149E03"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CRT. Informe de consideraciones sobre la consulta pública de la propuesta regulatoria denominada “Lineamientos para la Identificación de Líneas Telefónicas Móviles”, pág. 39. Disponible en el siguiente enlace: </w:t>
      </w:r>
      <w:hyperlink r:id="rId32">
        <w:r w:rsidR="00001DF2" w:rsidRPr="00961DB4">
          <w:rPr>
            <w:rFonts w:ascii="Century Gothic" w:eastAsia="Century Gothic" w:hAnsi="Century Gothic" w:cs="Century Gothic"/>
            <w:color w:val="467886"/>
            <w:sz w:val="18"/>
            <w:szCs w:val="18"/>
            <w:u w:val="single"/>
          </w:rPr>
          <w:t>https://portal.crt.gob.mx/informes-consideraciones/626152b3-494e-452a-a159-4f7c70fd0cc6.pdf</w:t>
        </w:r>
      </w:hyperlink>
      <w:r w:rsidRPr="00961DB4">
        <w:rPr>
          <w:rFonts w:ascii="Century Gothic" w:eastAsia="Century Gothic" w:hAnsi="Century Gothic" w:cs="Century Gothic"/>
          <w:color w:val="000000"/>
          <w:sz w:val="18"/>
          <w:szCs w:val="18"/>
        </w:rPr>
        <w:t xml:space="preserve"> </w:t>
      </w:r>
    </w:p>
  </w:footnote>
  <w:footnote w:id="64">
    <w:p w14:paraId="12FEC8D0"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Ibidem, pág. 91.</w:t>
      </w:r>
    </w:p>
    <w:p w14:paraId="536A8BD5"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i/>
          <w:iCs/>
          <w:color w:val="000000"/>
          <w:sz w:val="18"/>
          <w:szCs w:val="18"/>
        </w:rPr>
      </w:pPr>
      <w:r w:rsidRPr="00961DB4">
        <w:rPr>
          <w:rFonts w:ascii="Century Gothic" w:eastAsia="Century Gothic" w:hAnsi="Century Gothic" w:cs="Century Gothic"/>
          <w:i/>
          <w:iCs/>
          <w:color w:val="000000"/>
          <w:sz w:val="18"/>
          <w:szCs w:val="18"/>
        </w:rPr>
        <w:t>“Por otra parte, en los procedimientos de “Alta” o “Baja” en modalidad remota, se mantiene la Prueba de Vida como mecanismo indispensable para confirmar que la persona que realiza la “Alta” o “Baja” es el titular de la Identificación Oficial. No obstante, la propuesta regulatoria establece de manera expresa que, bajo ningún supuesto, las plataformas podrán almacenar datos biométricos, fotografías o copias de identificaciones oficiales, debiendo conservar únicamente el resultado de la validación y la fuente contra la cual ésta fue realizada.”</w:t>
      </w:r>
    </w:p>
  </w:footnote>
  <w:footnote w:id="65">
    <w:p w14:paraId="39835407" w14:textId="77777777" w:rsidR="00001DF2" w:rsidRPr="00961DB4" w:rsidRDefault="00000000" w:rsidP="00961DB4">
      <w:pPr>
        <w:pBdr>
          <w:top w:val="nil"/>
          <w:left w:val="nil"/>
          <w:bottom w:val="nil"/>
          <w:right w:val="nil"/>
          <w:between w:val="nil"/>
        </w:pBdr>
        <w:tabs>
          <w:tab w:val="left" w:pos="1089"/>
        </w:tabs>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Registro digital: 2010426; Instancia: Primera Sala; Décima Época; Materias(s): Constitucional; Tesis: 1a. CCCXLIV/2015 (10a.); Fuente: Gaceta del Semanario Judicial de la Federación. Libro 24, Noviembre de 2015, Tomo I, página 986; Tipo: Aislada</w:t>
      </w:r>
    </w:p>
    <w:p w14:paraId="7E3B6EB9" w14:textId="77777777" w:rsidR="00001DF2" w:rsidRPr="00961DB4" w:rsidRDefault="00000000" w:rsidP="00961DB4">
      <w:pPr>
        <w:pBdr>
          <w:top w:val="nil"/>
          <w:left w:val="nil"/>
          <w:bottom w:val="nil"/>
          <w:right w:val="nil"/>
          <w:between w:val="nil"/>
        </w:pBdr>
        <w:tabs>
          <w:tab w:val="left" w:pos="1089"/>
        </w:tabs>
        <w:spacing w:after="80" w:line="240" w:lineRule="auto"/>
        <w:jc w:val="both"/>
        <w:rPr>
          <w:rFonts w:ascii="Century Gothic" w:eastAsia="Century Gothic" w:hAnsi="Century Gothic" w:cs="Century Gothic"/>
          <w:b/>
          <w:bCs/>
          <w:color w:val="000000"/>
          <w:sz w:val="18"/>
          <w:szCs w:val="18"/>
        </w:rPr>
      </w:pPr>
      <w:r w:rsidRPr="00961DB4">
        <w:rPr>
          <w:rFonts w:ascii="Century Gothic" w:eastAsia="Century Gothic" w:hAnsi="Century Gothic" w:cs="Century Gothic"/>
          <w:b/>
          <w:bCs/>
          <w:color w:val="000000"/>
          <w:sz w:val="18"/>
          <w:szCs w:val="18"/>
        </w:rPr>
        <w:t>PARÁMETRO DE REGULARIDAD CONSTITUCIONAL. SE EXTIENDE A LA INTERPRETACIÓN DE LA NORMA NACIONAL O INTERNACIONAL.</w:t>
      </w:r>
    </w:p>
    <w:p w14:paraId="4913BBC6" w14:textId="77777777" w:rsidR="00001DF2" w:rsidRPr="00961DB4" w:rsidRDefault="00000000" w:rsidP="00961DB4">
      <w:pPr>
        <w:pBdr>
          <w:top w:val="nil"/>
          <w:left w:val="nil"/>
          <w:bottom w:val="nil"/>
          <w:right w:val="nil"/>
          <w:between w:val="nil"/>
        </w:pBdr>
        <w:tabs>
          <w:tab w:val="left" w:pos="1089"/>
        </w:tabs>
        <w:spacing w:after="80" w:line="240" w:lineRule="auto"/>
        <w:jc w:val="both"/>
        <w:rPr>
          <w:rFonts w:ascii="Century Gothic" w:eastAsia="Century Gothic" w:hAnsi="Century Gothic" w:cs="Century Gothic"/>
          <w:color w:val="000000"/>
          <w:sz w:val="18"/>
          <w:szCs w:val="18"/>
        </w:rPr>
      </w:pPr>
      <w:r w:rsidRPr="00961DB4">
        <w:rPr>
          <w:rFonts w:ascii="Century Gothic" w:eastAsia="Century Gothic" w:hAnsi="Century Gothic" w:cs="Century Gothic"/>
          <w:color w:val="000000"/>
          <w:sz w:val="18"/>
          <w:szCs w:val="18"/>
        </w:rPr>
        <w:t>Las autoridades judiciales deben aplicar el parámetro de regularidad constitucional -incluidos, por supuesto, los estándares sobre derechos humanos-, lo cual, claramente, no se limita al texto de la norma -nacional o internacional- sino que se extiende a la interpretación que hagan los órganos autorizados -tribunales constitucionales y organismos internacionales según corresponda-. Al respecto, la Corte Interamericana ha establecido que "los órganos del Poder Judicial deben ejercer no sólo un control de constitucionalidad, sino también de convencionalidad ex officio entre las normas internas y la Convención Americana". En similar sentido, el Pleno de esta Suprema Corte de Justicia estableció, en la Contradicción de Tesis 21/2011, que "el control de convencionalidad es un control de constitucionalidad desde el punto de vista sustantivo, dada la interpretación material que se hace del artículo 1o. constitucional".</w:t>
      </w:r>
    </w:p>
  </w:footnote>
  <w:footnote w:id="66">
    <w:p w14:paraId="15176B7B" w14:textId="41187FF9"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Corte IDH. Opinión Consultiva OC-6/86. LA EXPRESIÓN LEYES EN EL ARTÍCULO 30 DE LA CONVENCIÓN AMERICANA SOBRE DERECHOS HUMANOS. 9 DE MAYO DE 1986</w:t>
      </w:r>
      <w:r w:rsidR="00CF3503" w:rsidRPr="00961DB4">
        <w:rPr>
          <w:rFonts w:ascii="Century Gothic" w:eastAsia="Century Gothic" w:hAnsi="Century Gothic" w:cs="Century Gothic"/>
          <w:color w:val="000000"/>
          <w:sz w:val="18"/>
          <w:szCs w:val="18"/>
        </w:rPr>
        <w:t>, párr. 27</w:t>
      </w:r>
      <w:r w:rsidRPr="00961DB4">
        <w:rPr>
          <w:rFonts w:ascii="Century Gothic" w:eastAsia="Century Gothic" w:hAnsi="Century Gothic" w:cs="Century Gothic"/>
          <w:color w:val="000000"/>
          <w:sz w:val="18"/>
          <w:szCs w:val="18"/>
        </w:rPr>
        <w:t xml:space="preserve">. Disponible en el siguiente enlace: </w:t>
      </w:r>
      <w:hyperlink r:id="rId33">
        <w:r w:rsidR="00001DF2" w:rsidRPr="00961DB4">
          <w:rPr>
            <w:rFonts w:ascii="Century Gothic" w:eastAsia="Century Gothic" w:hAnsi="Century Gothic" w:cs="Century Gothic"/>
            <w:color w:val="467886"/>
            <w:sz w:val="18"/>
            <w:szCs w:val="18"/>
            <w:u w:val="single"/>
          </w:rPr>
          <w:t>https://www.corteidh.or.cr/docs/opiniones/seriea_06_esp.pdf</w:t>
        </w:r>
      </w:hyperlink>
      <w:r w:rsidRPr="00961DB4">
        <w:rPr>
          <w:rFonts w:ascii="Century Gothic" w:eastAsia="Century Gothic" w:hAnsi="Century Gothic" w:cs="Century Gothic"/>
          <w:color w:val="000000"/>
          <w:sz w:val="18"/>
          <w:szCs w:val="18"/>
        </w:rPr>
        <w:t xml:space="preserve"> </w:t>
      </w:r>
    </w:p>
  </w:footnote>
  <w:footnote w:id="67">
    <w:p w14:paraId="3E830B46"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Artículo 10. Los Proveedores del Servicio de Telefonía Móvil limitarán el número máximo de Líneas Telefónicas Móviles que pueden ser Vinculadas por personas físicas, permitiendo hasta diez Líneas Telefónicas Móviles.</w:t>
      </w:r>
    </w:p>
    <w:p w14:paraId="4454621C"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eastAsia="Century Gothic" w:hAnsi="Century Gothic" w:cs="Century Gothic"/>
          <w:color w:val="000000"/>
          <w:sz w:val="18"/>
          <w:szCs w:val="18"/>
        </w:rPr>
        <w:t>Lo anterior, no será aplicable a las personas morales, ni a las personas físicas con actividad empresarial. Para estas últimas, el Proveedor del Servicio de Telefonía Móvil requerirá la constancia de situación fiscal, a fin de acreditar dicha circunstancia.</w:t>
      </w:r>
    </w:p>
  </w:footnote>
  <w:footnote w:id="68">
    <w:p w14:paraId="7444924D"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Artículo 6o. (…)</w:t>
      </w:r>
    </w:p>
    <w:p w14:paraId="05AD94C7"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eastAsia="Century Gothic" w:hAnsi="Century Gothic" w:cs="Century Gothic"/>
          <w:color w:val="000000"/>
          <w:sz w:val="18"/>
          <w:szCs w:val="18"/>
        </w:rPr>
        <w:t>El Estado garantizará el derecho de acceso a las tecnologías de la información y comunicación, así como a los servicios de radiodifusión y telecomunicaciones, incluido el de banda ancha e Internet. Para tales efectos, el Ejecutivo Federal a través de la dependencia encargada de elaborar y conducir las políticas de telecomunicaciones y radiodifusión, establecerá condiciones de competencia efectiva en la prestación de dichos servicios.</w:t>
      </w:r>
    </w:p>
    <w:p w14:paraId="6F31530F"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eastAsia="Century Gothic" w:hAnsi="Century Gothic" w:cs="Century Gothic"/>
          <w:color w:val="000000"/>
          <w:sz w:val="18"/>
          <w:szCs w:val="18"/>
        </w:rPr>
        <w:t>B. En materia de radiodifusión y telecomunicaciones:</w:t>
      </w:r>
    </w:p>
    <w:p w14:paraId="524C4C33"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eastAsia="Century Gothic" w:hAnsi="Century Gothic" w:cs="Century Gothic"/>
          <w:color w:val="000000"/>
          <w:sz w:val="18"/>
          <w:szCs w:val="18"/>
        </w:rPr>
        <w:t>(…)</w:t>
      </w:r>
    </w:p>
    <w:p w14:paraId="54143424"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eastAsia="Century Gothic" w:hAnsi="Century Gothic" w:cs="Century Gothic"/>
          <w:color w:val="000000"/>
          <w:sz w:val="18"/>
          <w:szCs w:val="18"/>
        </w:rPr>
        <w:t>II. Las telecomunicaciones son servicios públicos de interés general, por lo que el Estado garantizará que sean prestados en condiciones de competencia, calidad, pluralidad, cobertura universal, interconexión, convergencia, continuidad, acceso libre y sin injerencias arbitrarias.</w:t>
      </w:r>
    </w:p>
  </w:footnote>
  <w:footnote w:id="69">
    <w:p w14:paraId="26212D56"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Ver: Google. ¿Qué es una red neuronal?. Disponible en el siguiente enlace: </w:t>
      </w:r>
      <w:hyperlink r:id="rId34">
        <w:r w:rsidR="00001DF2" w:rsidRPr="00961DB4">
          <w:rPr>
            <w:rFonts w:ascii="Century Gothic" w:eastAsia="Century Gothic" w:hAnsi="Century Gothic" w:cs="Century Gothic"/>
            <w:color w:val="467886"/>
            <w:sz w:val="18"/>
            <w:szCs w:val="18"/>
            <w:u w:val="single"/>
          </w:rPr>
          <w:t>https://cloud.google.com/discover/what-is-a-neural-network?hl=es-419</w:t>
        </w:r>
      </w:hyperlink>
    </w:p>
    <w:p w14:paraId="61D4F111"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i/>
          <w:iCs/>
          <w:color w:val="000000"/>
          <w:sz w:val="18"/>
          <w:szCs w:val="18"/>
        </w:rPr>
      </w:pPr>
      <w:r w:rsidRPr="00961DB4">
        <w:rPr>
          <w:rFonts w:ascii="Century Gothic" w:eastAsia="Century Gothic" w:hAnsi="Century Gothic" w:cs="Century Gothic"/>
          <w:i/>
          <w:iCs/>
          <w:color w:val="000000"/>
          <w:sz w:val="18"/>
          <w:szCs w:val="18"/>
        </w:rPr>
        <w:t>¿Qué es una red neuronal?</w:t>
      </w:r>
    </w:p>
    <w:p w14:paraId="4130F530"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i/>
          <w:iCs/>
          <w:color w:val="000000"/>
          <w:sz w:val="18"/>
          <w:szCs w:val="18"/>
        </w:rPr>
      </w:pPr>
      <w:r w:rsidRPr="00961DB4">
        <w:rPr>
          <w:rFonts w:ascii="Century Gothic" w:eastAsia="Century Gothic" w:hAnsi="Century Gothic" w:cs="Century Gothic"/>
          <w:i/>
          <w:iCs/>
          <w:color w:val="000000"/>
          <w:sz w:val="18"/>
          <w:szCs w:val="18"/>
        </w:rPr>
        <w:t>Una red neuronal es un tipo de algoritmo de aprendizaje automático inspirado en el cerebro humano. Es una herramienta potente que se destaca en resolver problemas complejos más difíciles de manejar para los algoritmos informáticos tradicionales, como el reconocimiento de imágenes y el procesamiento de lenguaje natural. (…)</w:t>
      </w:r>
    </w:p>
    <w:p w14:paraId="0E3B0E61"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i/>
          <w:iCs/>
          <w:color w:val="000000"/>
          <w:sz w:val="18"/>
          <w:szCs w:val="18"/>
        </w:rPr>
      </w:pPr>
      <w:r w:rsidRPr="00961DB4">
        <w:rPr>
          <w:rFonts w:ascii="Century Gothic" w:eastAsia="Century Gothic" w:hAnsi="Century Gothic" w:cs="Century Gothic"/>
          <w:i/>
          <w:iCs/>
          <w:color w:val="000000"/>
          <w:sz w:val="18"/>
          <w:szCs w:val="18"/>
        </w:rPr>
        <w:t>Este proceso de aprendizaje les permite hacer predicciones y reconocer patrones, lo que impulsa su amplia adopción en diversas aplicaciones, como el reconocimiento de imágenes, el procesamiento de lenguaje natural y la traducción automática.</w:t>
      </w:r>
    </w:p>
    <w:p w14:paraId="0AA34DD9"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i/>
          <w:iCs/>
          <w:color w:val="000000"/>
          <w:sz w:val="18"/>
          <w:szCs w:val="18"/>
        </w:rPr>
      </w:pPr>
      <w:r w:rsidRPr="00961DB4">
        <w:rPr>
          <w:rFonts w:ascii="Century Gothic" w:eastAsia="Century Gothic" w:hAnsi="Century Gothic" w:cs="Century Gothic"/>
          <w:i/>
          <w:iCs/>
          <w:color w:val="000000"/>
          <w:sz w:val="18"/>
          <w:szCs w:val="18"/>
        </w:rPr>
        <w:t>¿Cómo funcionan las redes neuronales?</w:t>
      </w:r>
    </w:p>
    <w:p w14:paraId="35EE308F"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i/>
          <w:iCs/>
          <w:color w:val="000000"/>
          <w:sz w:val="18"/>
          <w:szCs w:val="18"/>
        </w:rPr>
      </w:pPr>
      <w:r w:rsidRPr="00961DB4">
        <w:rPr>
          <w:rFonts w:ascii="Century Gothic" w:eastAsia="Century Gothic" w:hAnsi="Century Gothic" w:cs="Century Gothic"/>
          <w:i/>
          <w:iCs/>
          <w:color w:val="000000"/>
          <w:sz w:val="18"/>
          <w:szCs w:val="18"/>
        </w:rPr>
        <w:t>El aprendizaje en las redes neuronales se produce cuando se crean conexiones y se ajustan sus pesos entre las neuronas mediante un proceso llamado entrenamiento. Esto implica alimentar la red con grandes conjuntos de datos que luego usa para definir mejor sus ponderaciones y minimizar errores entre sus predicciones y los valores reales. (…)</w:t>
      </w:r>
    </w:p>
    <w:p w14:paraId="0DC9B6AB"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i/>
          <w:iCs/>
          <w:color w:val="000000"/>
          <w:sz w:val="18"/>
          <w:szCs w:val="18"/>
        </w:rPr>
      </w:pPr>
      <w:r w:rsidRPr="00961DB4">
        <w:rPr>
          <w:rFonts w:ascii="Century Gothic" w:eastAsia="Century Gothic" w:hAnsi="Century Gothic" w:cs="Century Gothic"/>
          <w:i/>
          <w:iCs/>
          <w:color w:val="000000"/>
          <w:sz w:val="18"/>
          <w:szCs w:val="18"/>
        </w:rPr>
        <w:t>Ejemplos de redes neuronales:</w:t>
      </w:r>
    </w:p>
    <w:p w14:paraId="0E7173FF"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i/>
          <w:iCs/>
          <w:color w:val="000000"/>
          <w:sz w:val="18"/>
          <w:szCs w:val="18"/>
        </w:rPr>
      </w:pPr>
      <w:r w:rsidRPr="00961DB4">
        <w:rPr>
          <w:rFonts w:ascii="Century Gothic" w:eastAsia="Century Gothic" w:hAnsi="Century Gothic" w:cs="Century Gothic"/>
          <w:i/>
          <w:iCs/>
          <w:color w:val="000000"/>
          <w:sz w:val="18"/>
          <w:szCs w:val="18"/>
        </w:rPr>
        <w:t>(…)</w:t>
      </w:r>
    </w:p>
    <w:p w14:paraId="317BC81E"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i/>
          <w:iCs/>
          <w:color w:val="000000"/>
          <w:sz w:val="18"/>
          <w:szCs w:val="18"/>
        </w:rPr>
      </w:pPr>
      <w:r w:rsidRPr="00961DB4">
        <w:rPr>
          <w:rFonts w:ascii="Century Gothic" w:eastAsia="Century Gothic" w:hAnsi="Century Gothic" w:cs="Century Gothic"/>
          <w:b/>
          <w:bCs/>
          <w:i/>
          <w:iCs/>
          <w:color w:val="000000"/>
          <w:sz w:val="18"/>
          <w:szCs w:val="18"/>
        </w:rPr>
        <w:t>Reconocimiento facial: </w:t>
      </w:r>
      <w:r w:rsidRPr="00961DB4">
        <w:rPr>
          <w:rFonts w:ascii="Century Gothic" w:eastAsia="Century Gothic" w:hAnsi="Century Gothic" w:cs="Century Gothic"/>
          <w:i/>
          <w:iCs/>
          <w:color w:val="000000"/>
          <w:sz w:val="18"/>
          <w:szCs w:val="18"/>
        </w:rPr>
        <w:t>Los sistemas de seguridad, el etiquetado de redes sociales y la publicidad personalizada utilizan el poder de las redes neuronales para el reconocimiento facial.</w:t>
      </w:r>
    </w:p>
  </w:footnote>
  <w:footnote w:id="70">
    <w:p w14:paraId="74B8EF80"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Ver: GOOGLE. Anexo de Tratamiento de Datos de Cloud (Clientes) Google. Disponible en el siguiente enlace: https://cloud.google.com/terms/data-processing-addendum?hl=es-419</w:t>
      </w:r>
    </w:p>
  </w:footnote>
  <w:footnote w:id="71">
    <w:p w14:paraId="75C90213"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Idem.</w:t>
      </w:r>
    </w:p>
    <w:p w14:paraId="3B61876B"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b/>
          <w:bCs/>
          <w:color w:val="000000"/>
          <w:sz w:val="18"/>
          <w:szCs w:val="18"/>
        </w:rPr>
      </w:pPr>
      <w:r w:rsidRPr="00961DB4">
        <w:rPr>
          <w:rFonts w:ascii="Century Gothic" w:eastAsia="Century Gothic" w:hAnsi="Century Gothic" w:cs="Century Gothic"/>
          <w:b/>
          <w:bCs/>
          <w:color w:val="000000"/>
          <w:sz w:val="18"/>
          <w:szCs w:val="18"/>
        </w:rPr>
        <w:t>Términos Generales</w:t>
      </w:r>
    </w:p>
    <w:p w14:paraId="2794D8BB"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eastAsia="Century Gothic" w:hAnsi="Century Gothic" w:cs="Century Gothic"/>
          <w:color w:val="000000"/>
          <w:sz w:val="18"/>
          <w:szCs w:val="18"/>
        </w:rPr>
        <w:t>(…)</w:t>
      </w:r>
    </w:p>
    <w:p w14:paraId="144B5501"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eastAsia="Century Gothic" w:hAnsi="Century Gothic" w:cs="Century Gothic"/>
          <w:color w:val="000000"/>
          <w:sz w:val="18"/>
          <w:szCs w:val="18"/>
        </w:rPr>
        <w:t>11.3 Requisitos para la contratación del Subencargado. Al contratar a cualquier Subencargado, Google hará lo siguiente:</w:t>
      </w:r>
    </w:p>
    <w:p w14:paraId="2908BD63"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eastAsia="Century Gothic" w:hAnsi="Century Gothic" w:cs="Century Gothic"/>
          <w:color w:val="000000"/>
          <w:sz w:val="18"/>
          <w:szCs w:val="18"/>
        </w:rPr>
        <w:t>a. garantizar mediante un contrato escrito que:</w:t>
      </w:r>
    </w:p>
    <w:p w14:paraId="4F565761"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eastAsia="Century Gothic" w:hAnsi="Century Gothic" w:cs="Century Gothic"/>
          <w:color w:val="000000"/>
          <w:sz w:val="18"/>
          <w:szCs w:val="18"/>
        </w:rPr>
        <w:t>i. el Subencargado únicamente accede y utiliza los Datos del Cliente en la medida necesaria para cumplir con las obligaciones que se le subcontratan, y lo hace de conformidad con el Acuerdo aplicable (incluyendo este Anexo); y</w:t>
      </w:r>
    </w:p>
    <w:p w14:paraId="3E630AF7"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eastAsia="Century Gothic" w:hAnsi="Century Gothic" w:cs="Century Gothic"/>
          <w:color w:val="000000"/>
          <w:sz w:val="18"/>
          <w:szCs w:val="18"/>
        </w:rPr>
        <w:t>ii. si así lo exigen las Leyes de Privacidad Aplicables, las obligaciones de protección de datos descritas en este Anexo se imponen al Subencargado (como se puede describir con más detalle en el Apéndice 3 (Leyes de privacidad específicas)); y</w:t>
      </w:r>
    </w:p>
    <w:p w14:paraId="78A880B1"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eastAsia="Century Gothic" w:hAnsi="Century Gothic" w:cs="Century Gothic"/>
          <w:color w:val="000000"/>
          <w:sz w:val="18"/>
          <w:szCs w:val="18"/>
        </w:rPr>
        <w:t>b. seguirá siendo totalmente responsable de todas las obligaciones subcontratadas y de todos los actos y omisiones del Subencargado.</w:t>
      </w:r>
    </w:p>
  </w:footnote>
  <w:footnote w:id="72">
    <w:p w14:paraId="735DF3C5"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Idem.</w:t>
      </w:r>
    </w:p>
    <w:p w14:paraId="765DB4F0"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b/>
          <w:bCs/>
          <w:color w:val="000000"/>
          <w:sz w:val="18"/>
          <w:szCs w:val="18"/>
        </w:rPr>
      </w:pPr>
      <w:r w:rsidRPr="00961DB4">
        <w:rPr>
          <w:rFonts w:ascii="Century Gothic" w:eastAsia="Century Gothic" w:hAnsi="Century Gothic" w:cs="Century Gothic"/>
          <w:b/>
          <w:bCs/>
          <w:color w:val="000000"/>
          <w:sz w:val="18"/>
          <w:szCs w:val="18"/>
        </w:rPr>
        <w:t>Apéndice 2: Medidas de Seguridad</w:t>
      </w:r>
    </w:p>
    <w:p w14:paraId="03F35C71"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eastAsia="Century Gothic" w:hAnsi="Century Gothic" w:cs="Century Gothic"/>
          <w:color w:val="000000"/>
          <w:sz w:val="18"/>
          <w:szCs w:val="18"/>
        </w:rPr>
        <w:t>5. Seguridad del Subencargado</w:t>
      </w:r>
    </w:p>
    <w:p w14:paraId="2A2E1B44"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eastAsia="Century Gothic" w:hAnsi="Century Gothic" w:cs="Century Gothic"/>
          <w:color w:val="000000"/>
          <w:sz w:val="18"/>
          <w:szCs w:val="18"/>
        </w:rPr>
        <w:t>Antes de incorporar a los Subencargados, Google lleva a cabo una auditoría de las prácticas de seguridad y privacidad de los Subencargados para garantizar que proporcionen un nivel de seguridad y privacidad apropiado para su acceso a los datos y el alcance de los servicios que están comprometidos a brindar. Una vez que Google haya evaluado los riesgos presentados por el Subencargado, sujeto a los requisitos descritos en la Sección 11.3 (Requisitos para la participación del Subencargado), el Subencargado deberá celebrar los términos apropiados del contrato de seguridad, confidencialidad y privacidad.</w:t>
      </w:r>
    </w:p>
  </w:footnote>
  <w:footnote w:id="73">
    <w:p w14:paraId="4CAD89C1" w14:textId="77777777" w:rsidR="00D16AE1" w:rsidRPr="00961DB4" w:rsidRDefault="00D16AE1"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Ver: Google. ¿Qué es una red neuronal?. Disponible en el siguiente enlace: </w:t>
      </w:r>
      <w:hyperlink r:id="rId35">
        <w:r w:rsidRPr="00961DB4">
          <w:rPr>
            <w:rFonts w:ascii="Century Gothic" w:eastAsia="Century Gothic" w:hAnsi="Century Gothic" w:cs="Century Gothic"/>
            <w:color w:val="467886"/>
            <w:sz w:val="18"/>
            <w:szCs w:val="18"/>
            <w:u w:val="single"/>
          </w:rPr>
          <w:t>https://cloud.google.com/discover/what-is-a-neural-network?hl=es-419</w:t>
        </w:r>
      </w:hyperlink>
    </w:p>
    <w:p w14:paraId="388A875B" w14:textId="77777777" w:rsidR="00D16AE1" w:rsidRPr="00961DB4" w:rsidRDefault="00D16AE1" w:rsidP="00961DB4">
      <w:pPr>
        <w:pBdr>
          <w:top w:val="nil"/>
          <w:left w:val="nil"/>
          <w:bottom w:val="nil"/>
          <w:right w:val="nil"/>
          <w:between w:val="nil"/>
        </w:pBdr>
        <w:spacing w:after="80" w:line="240" w:lineRule="auto"/>
        <w:jc w:val="both"/>
        <w:rPr>
          <w:rFonts w:ascii="Century Gothic" w:eastAsia="Century Gothic" w:hAnsi="Century Gothic" w:cs="Century Gothic"/>
          <w:i/>
          <w:iCs/>
          <w:color w:val="000000"/>
          <w:sz w:val="18"/>
          <w:szCs w:val="18"/>
        </w:rPr>
      </w:pPr>
      <w:r w:rsidRPr="00961DB4">
        <w:rPr>
          <w:rFonts w:ascii="Century Gothic" w:eastAsia="Century Gothic" w:hAnsi="Century Gothic" w:cs="Century Gothic"/>
          <w:i/>
          <w:iCs/>
          <w:color w:val="000000"/>
          <w:sz w:val="18"/>
          <w:szCs w:val="18"/>
        </w:rPr>
        <w:t>¿Qué es una red neuronal?</w:t>
      </w:r>
    </w:p>
    <w:p w14:paraId="35778A85" w14:textId="77777777" w:rsidR="00D16AE1" w:rsidRPr="00961DB4" w:rsidRDefault="00D16AE1" w:rsidP="00961DB4">
      <w:pPr>
        <w:pBdr>
          <w:top w:val="nil"/>
          <w:left w:val="nil"/>
          <w:bottom w:val="nil"/>
          <w:right w:val="nil"/>
          <w:between w:val="nil"/>
        </w:pBdr>
        <w:spacing w:after="80" w:line="240" w:lineRule="auto"/>
        <w:jc w:val="both"/>
        <w:rPr>
          <w:rFonts w:ascii="Century Gothic" w:eastAsia="Century Gothic" w:hAnsi="Century Gothic" w:cs="Century Gothic"/>
          <w:i/>
          <w:iCs/>
          <w:color w:val="000000"/>
          <w:sz w:val="18"/>
          <w:szCs w:val="18"/>
        </w:rPr>
      </w:pPr>
      <w:r w:rsidRPr="00961DB4">
        <w:rPr>
          <w:rFonts w:ascii="Century Gothic" w:eastAsia="Century Gothic" w:hAnsi="Century Gothic" w:cs="Century Gothic"/>
          <w:i/>
          <w:iCs/>
          <w:color w:val="000000"/>
          <w:sz w:val="18"/>
          <w:szCs w:val="18"/>
        </w:rPr>
        <w:t>Una red neuronal es un tipo de algoritmo de aprendizaje automático inspirado en el cerebro humano. Es una herramienta potente que se destaca en resolver problemas complejos más difíciles de manejar para los algoritmos informáticos tradicionales, como el reconocimiento de imágenes y el procesamiento de lenguaje natural. (…)</w:t>
      </w:r>
    </w:p>
    <w:p w14:paraId="4609EFB3" w14:textId="77777777" w:rsidR="00D16AE1" w:rsidRPr="00961DB4" w:rsidRDefault="00D16AE1" w:rsidP="00961DB4">
      <w:pPr>
        <w:pBdr>
          <w:top w:val="nil"/>
          <w:left w:val="nil"/>
          <w:bottom w:val="nil"/>
          <w:right w:val="nil"/>
          <w:between w:val="nil"/>
        </w:pBdr>
        <w:spacing w:after="80" w:line="240" w:lineRule="auto"/>
        <w:jc w:val="both"/>
        <w:rPr>
          <w:rFonts w:ascii="Century Gothic" w:eastAsia="Century Gothic" w:hAnsi="Century Gothic" w:cs="Century Gothic"/>
          <w:i/>
          <w:iCs/>
          <w:color w:val="000000"/>
          <w:sz w:val="18"/>
          <w:szCs w:val="18"/>
        </w:rPr>
      </w:pPr>
      <w:r w:rsidRPr="00961DB4">
        <w:rPr>
          <w:rFonts w:ascii="Century Gothic" w:eastAsia="Century Gothic" w:hAnsi="Century Gothic" w:cs="Century Gothic"/>
          <w:i/>
          <w:iCs/>
          <w:color w:val="000000"/>
          <w:sz w:val="18"/>
          <w:szCs w:val="18"/>
        </w:rPr>
        <w:t>Este proceso de aprendizaje les permite hacer predicciones y reconocer patrones, lo que impulsa su amplia adopción en diversas aplicaciones, como el reconocimiento de imágenes, el procesamiento de lenguaje natural y la traducción automática.</w:t>
      </w:r>
    </w:p>
    <w:p w14:paraId="063D88A3" w14:textId="77777777" w:rsidR="00D16AE1" w:rsidRPr="00961DB4" w:rsidRDefault="00D16AE1" w:rsidP="00961DB4">
      <w:pPr>
        <w:pBdr>
          <w:top w:val="nil"/>
          <w:left w:val="nil"/>
          <w:bottom w:val="nil"/>
          <w:right w:val="nil"/>
          <w:between w:val="nil"/>
        </w:pBdr>
        <w:spacing w:after="80" w:line="240" w:lineRule="auto"/>
        <w:jc w:val="both"/>
        <w:rPr>
          <w:rFonts w:ascii="Century Gothic" w:eastAsia="Century Gothic" w:hAnsi="Century Gothic" w:cs="Century Gothic"/>
          <w:i/>
          <w:iCs/>
          <w:color w:val="000000"/>
          <w:sz w:val="18"/>
          <w:szCs w:val="18"/>
        </w:rPr>
      </w:pPr>
      <w:r w:rsidRPr="00961DB4">
        <w:rPr>
          <w:rFonts w:ascii="Century Gothic" w:eastAsia="Century Gothic" w:hAnsi="Century Gothic" w:cs="Century Gothic"/>
          <w:i/>
          <w:iCs/>
          <w:color w:val="000000"/>
          <w:sz w:val="18"/>
          <w:szCs w:val="18"/>
        </w:rPr>
        <w:t>¿Cómo funcionan las redes neuronales?</w:t>
      </w:r>
    </w:p>
    <w:p w14:paraId="01AF8A31" w14:textId="77777777" w:rsidR="00D16AE1" w:rsidRPr="00961DB4" w:rsidRDefault="00D16AE1" w:rsidP="00961DB4">
      <w:pPr>
        <w:pBdr>
          <w:top w:val="nil"/>
          <w:left w:val="nil"/>
          <w:bottom w:val="nil"/>
          <w:right w:val="nil"/>
          <w:between w:val="nil"/>
        </w:pBdr>
        <w:spacing w:after="80" w:line="240" w:lineRule="auto"/>
        <w:jc w:val="both"/>
        <w:rPr>
          <w:rFonts w:ascii="Century Gothic" w:eastAsia="Century Gothic" w:hAnsi="Century Gothic" w:cs="Century Gothic"/>
          <w:i/>
          <w:iCs/>
          <w:color w:val="000000"/>
          <w:sz w:val="18"/>
          <w:szCs w:val="18"/>
        </w:rPr>
      </w:pPr>
      <w:r w:rsidRPr="00961DB4">
        <w:rPr>
          <w:rFonts w:ascii="Century Gothic" w:eastAsia="Century Gothic" w:hAnsi="Century Gothic" w:cs="Century Gothic"/>
          <w:i/>
          <w:iCs/>
          <w:color w:val="000000"/>
          <w:sz w:val="18"/>
          <w:szCs w:val="18"/>
        </w:rPr>
        <w:t>El aprendizaje en las redes neuronales se produce cuando se crean conexiones y se ajustan sus pesos entre las neuronas mediante un proceso llamado entrenamiento. Esto implica alimentar la red con grandes conjuntos de datos que luego usa para definir mejor sus ponderaciones y minimizar errores entre sus predicciones y los valores reales. (…)</w:t>
      </w:r>
    </w:p>
    <w:p w14:paraId="46553D63" w14:textId="77777777" w:rsidR="00D16AE1" w:rsidRPr="00961DB4" w:rsidRDefault="00D16AE1" w:rsidP="00961DB4">
      <w:pPr>
        <w:pBdr>
          <w:top w:val="nil"/>
          <w:left w:val="nil"/>
          <w:bottom w:val="nil"/>
          <w:right w:val="nil"/>
          <w:between w:val="nil"/>
        </w:pBdr>
        <w:spacing w:after="80" w:line="240" w:lineRule="auto"/>
        <w:jc w:val="both"/>
        <w:rPr>
          <w:rFonts w:ascii="Century Gothic" w:eastAsia="Century Gothic" w:hAnsi="Century Gothic" w:cs="Century Gothic"/>
          <w:i/>
          <w:iCs/>
          <w:color w:val="000000"/>
          <w:sz w:val="18"/>
          <w:szCs w:val="18"/>
        </w:rPr>
      </w:pPr>
      <w:r w:rsidRPr="00961DB4">
        <w:rPr>
          <w:rFonts w:ascii="Century Gothic" w:eastAsia="Century Gothic" w:hAnsi="Century Gothic" w:cs="Century Gothic"/>
          <w:i/>
          <w:iCs/>
          <w:color w:val="000000"/>
          <w:sz w:val="18"/>
          <w:szCs w:val="18"/>
        </w:rPr>
        <w:t>Ejemplos de redes neuronales:</w:t>
      </w:r>
    </w:p>
    <w:p w14:paraId="4F20D2A9" w14:textId="77777777" w:rsidR="00D16AE1" w:rsidRPr="00961DB4" w:rsidRDefault="00D16AE1" w:rsidP="00961DB4">
      <w:pPr>
        <w:pBdr>
          <w:top w:val="nil"/>
          <w:left w:val="nil"/>
          <w:bottom w:val="nil"/>
          <w:right w:val="nil"/>
          <w:between w:val="nil"/>
        </w:pBdr>
        <w:spacing w:after="80" w:line="240" w:lineRule="auto"/>
        <w:jc w:val="both"/>
        <w:rPr>
          <w:rFonts w:ascii="Century Gothic" w:eastAsia="Century Gothic" w:hAnsi="Century Gothic" w:cs="Century Gothic"/>
          <w:i/>
          <w:iCs/>
          <w:color w:val="000000"/>
          <w:sz w:val="18"/>
          <w:szCs w:val="18"/>
        </w:rPr>
      </w:pPr>
      <w:r w:rsidRPr="00961DB4">
        <w:rPr>
          <w:rFonts w:ascii="Century Gothic" w:eastAsia="Century Gothic" w:hAnsi="Century Gothic" w:cs="Century Gothic"/>
          <w:i/>
          <w:iCs/>
          <w:color w:val="000000"/>
          <w:sz w:val="18"/>
          <w:szCs w:val="18"/>
        </w:rPr>
        <w:t>(…)</w:t>
      </w:r>
    </w:p>
    <w:p w14:paraId="393E8A1E" w14:textId="77777777" w:rsidR="00D16AE1" w:rsidRPr="00961DB4" w:rsidRDefault="00D16AE1" w:rsidP="00961DB4">
      <w:pPr>
        <w:pBdr>
          <w:top w:val="nil"/>
          <w:left w:val="nil"/>
          <w:bottom w:val="nil"/>
          <w:right w:val="nil"/>
          <w:between w:val="nil"/>
        </w:pBdr>
        <w:spacing w:after="80" w:line="240" w:lineRule="auto"/>
        <w:jc w:val="both"/>
        <w:rPr>
          <w:rFonts w:ascii="Century Gothic" w:eastAsia="Century Gothic" w:hAnsi="Century Gothic" w:cs="Century Gothic"/>
          <w:i/>
          <w:iCs/>
          <w:color w:val="000000"/>
          <w:sz w:val="18"/>
          <w:szCs w:val="18"/>
        </w:rPr>
      </w:pPr>
      <w:r w:rsidRPr="00961DB4">
        <w:rPr>
          <w:rFonts w:ascii="Century Gothic" w:eastAsia="Century Gothic" w:hAnsi="Century Gothic" w:cs="Century Gothic"/>
          <w:b/>
          <w:bCs/>
          <w:i/>
          <w:iCs/>
          <w:color w:val="000000"/>
          <w:sz w:val="18"/>
          <w:szCs w:val="18"/>
        </w:rPr>
        <w:t>Reconocimiento facial: </w:t>
      </w:r>
      <w:r w:rsidRPr="00961DB4">
        <w:rPr>
          <w:rFonts w:ascii="Century Gothic" w:eastAsia="Century Gothic" w:hAnsi="Century Gothic" w:cs="Century Gothic"/>
          <w:i/>
          <w:iCs/>
          <w:color w:val="000000"/>
          <w:sz w:val="18"/>
          <w:szCs w:val="18"/>
        </w:rPr>
        <w:t>Los sistemas de seguridad, el etiquetado de redes sociales y la publicidad personalizada utilizan el poder de las redes neuronales para el reconocimiento facial.</w:t>
      </w:r>
    </w:p>
  </w:footnote>
  <w:footnote w:id="74">
    <w:p w14:paraId="2F4569E1" w14:textId="77777777" w:rsidR="00D16AE1" w:rsidRPr="00961DB4" w:rsidRDefault="00D16AE1"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Ver: GOOGLE. Anexo de Tratamiento de Datos de Cloud (Clientes) Google. Disponible en el siguiente enlace: https://cloud.google.com/terms/data-processing-addendum?hl=es-419</w:t>
      </w:r>
    </w:p>
  </w:footnote>
  <w:footnote w:id="75">
    <w:p w14:paraId="14FBB36F" w14:textId="77777777" w:rsidR="00D16AE1" w:rsidRPr="00961DB4" w:rsidRDefault="00D16AE1"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Idem.</w:t>
      </w:r>
    </w:p>
    <w:p w14:paraId="171F62DF" w14:textId="77777777" w:rsidR="00D16AE1" w:rsidRPr="00961DB4" w:rsidRDefault="00D16AE1" w:rsidP="00961DB4">
      <w:pPr>
        <w:pBdr>
          <w:top w:val="nil"/>
          <w:left w:val="nil"/>
          <w:bottom w:val="nil"/>
          <w:right w:val="nil"/>
          <w:between w:val="nil"/>
        </w:pBdr>
        <w:spacing w:after="80" w:line="240" w:lineRule="auto"/>
        <w:jc w:val="both"/>
        <w:rPr>
          <w:rFonts w:ascii="Century Gothic" w:eastAsia="Century Gothic" w:hAnsi="Century Gothic" w:cs="Century Gothic"/>
          <w:b/>
          <w:bCs/>
          <w:color w:val="000000"/>
          <w:sz w:val="18"/>
          <w:szCs w:val="18"/>
        </w:rPr>
      </w:pPr>
      <w:r w:rsidRPr="00961DB4">
        <w:rPr>
          <w:rFonts w:ascii="Century Gothic" w:eastAsia="Century Gothic" w:hAnsi="Century Gothic" w:cs="Century Gothic"/>
          <w:b/>
          <w:bCs/>
          <w:color w:val="000000"/>
          <w:sz w:val="18"/>
          <w:szCs w:val="18"/>
        </w:rPr>
        <w:t>Términos Generales</w:t>
      </w:r>
    </w:p>
    <w:p w14:paraId="2A20CBAC" w14:textId="77777777" w:rsidR="00D16AE1" w:rsidRPr="00961DB4" w:rsidRDefault="00D16AE1"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eastAsia="Century Gothic" w:hAnsi="Century Gothic" w:cs="Century Gothic"/>
          <w:color w:val="000000"/>
          <w:sz w:val="18"/>
          <w:szCs w:val="18"/>
        </w:rPr>
        <w:t>(…)</w:t>
      </w:r>
    </w:p>
    <w:p w14:paraId="473243F9" w14:textId="77777777" w:rsidR="00D16AE1" w:rsidRPr="00961DB4" w:rsidRDefault="00D16AE1"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eastAsia="Century Gothic" w:hAnsi="Century Gothic" w:cs="Century Gothic"/>
          <w:color w:val="000000"/>
          <w:sz w:val="18"/>
          <w:szCs w:val="18"/>
        </w:rPr>
        <w:t>11.3 Requisitos para la contratación del Subencargado. Al contratar a cualquier Subencargado, Google hará lo siguiente:</w:t>
      </w:r>
    </w:p>
    <w:p w14:paraId="6E669407" w14:textId="77777777" w:rsidR="00D16AE1" w:rsidRPr="00961DB4" w:rsidRDefault="00D16AE1"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eastAsia="Century Gothic" w:hAnsi="Century Gothic" w:cs="Century Gothic"/>
          <w:color w:val="000000"/>
          <w:sz w:val="18"/>
          <w:szCs w:val="18"/>
        </w:rPr>
        <w:t>a. garantizar mediante un contrato escrito que:</w:t>
      </w:r>
    </w:p>
    <w:p w14:paraId="7049B1F2" w14:textId="77777777" w:rsidR="00D16AE1" w:rsidRPr="00961DB4" w:rsidRDefault="00D16AE1"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eastAsia="Century Gothic" w:hAnsi="Century Gothic" w:cs="Century Gothic"/>
          <w:color w:val="000000"/>
          <w:sz w:val="18"/>
          <w:szCs w:val="18"/>
        </w:rPr>
        <w:t>i. el Subencargado únicamente accede y utiliza los Datos del Cliente en la medida necesaria para cumplir con las obligaciones que se le subcontratan, y lo hace de conformidad con el Acuerdo aplicable (incluyendo este Anexo); y</w:t>
      </w:r>
    </w:p>
    <w:p w14:paraId="563C9636" w14:textId="77777777" w:rsidR="00D16AE1" w:rsidRPr="00961DB4" w:rsidRDefault="00D16AE1"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eastAsia="Century Gothic" w:hAnsi="Century Gothic" w:cs="Century Gothic"/>
          <w:color w:val="000000"/>
          <w:sz w:val="18"/>
          <w:szCs w:val="18"/>
        </w:rPr>
        <w:t>ii. si así lo exigen las Leyes de Privacidad Aplicables, las obligaciones de protección de datos descritas en este Anexo se imponen al Subencargado (como se puede describir con más detalle en el Apéndice 3 (Leyes de privacidad específicas)); y</w:t>
      </w:r>
    </w:p>
    <w:p w14:paraId="6D5B74D9" w14:textId="77777777" w:rsidR="00D16AE1" w:rsidRPr="00961DB4" w:rsidRDefault="00D16AE1"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eastAsia="Century Gothic" w:hAnsi="Century Gothic" w:cs="Century Gothic"/>
          <w:color w:val="000000"/>
          <w:sz w:val="18"/>
          <w:szCs w:val="18"/>
        </w:rPr>
        <w:t>b. seguirá siendo totalmente responsable de todas las obligaciones subcontratadas y de todos los actos y omisiones del Subencargado.</w:t>
      </w:r>
    </w:p>
  </w:footnote>
  <w:footnote w:id="76">
    <w:p w14:paraId="689EA3DD" w14:textId="77777777" w:rsidR="00D16AE1" w:rsidRPr="00961DB4" w:rsidRDefault="00D16AE1"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Idem.</w:t>
      </w:r>
    </w:p>
    <w:p w14:paraId="29013904" w14:textId="77777777" w:rsidR="00D16AE1" w:rsidRPr="00961DB4" w:rsidRDefault="00D16AE1" w:rsidP="00961DB4">
      <w:pPr>
        <w:pBdr>
          <w:top w:val="nil"/>
          <w:left w:val="nil"/>
          <w:bottom w:val="nil"/>
          <w:right w:val="nil"/>
          <w:between w:val="nil"/>
        </w:pBdr>
        <w:spacing w:after="80" w:line="240" w:lineRule="auto"/>
        <w:jc w:val="both"/>
        <w:rPr>
          <w:rFonts w:ascii="Century Gothic" w:eastAsia="Century Gothic" w:hAnsi="Century Gothic" w:cs="Century Gothic"/>
          <w:b/>
          <w:bCs/>
          <w:color w:val="000000"/>
          <w:sz w:val="18"/>
          <w:szCs w:val="18"/>
        </w:rPr>
      </w:pPr>
      <w:r w:rsidRPr="00961DB4">
        <w:rPr>
          <w:rFonts w:ascii="Century Gothic" w:eastAsia="Century Gothic" w:hAnsi="Century Gothic" w:cs="Century Gothic"/>
          <w:b/>
          <w:bCs/>
          <w:color w:val="000000"/>
          <w:sz w:val="18"/>
          <w:szCs w:val="18"/>
        </w:rPr>
        <w:t>Apéndice 2: Medidas de Seguridad</w:t>
      </w:r>
    </w:p>
    <w:p w14:paraId="2EF51F3A" w14:textId="77777777" w:rsidR="00D16AE1" w:rsidRPr="00961DB4" w:rsidRDefault="00D16AE1"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eastAsia="Century Gothic" w:hAnsi="Century Gothic" w:cs="Century Gothic"/>
          <w:color w:val="000000"/>
          <w:sz w:val="18"/>
          <w:szCs w:val="18"/>
        </w:rPr>
        <w:t>5. Seguridad del Subencargado</w:t>
      </w:r>
    </w:p>
    <w:p w14:paraId="0CBBC692" w14:textId="77777777" w:rsidR="00D16AE1" w:rsidRPr="00961DB4" w:rsidRDefault="00D16AE1"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eastAsia="Century Gothic" w:hAnsi="Century Gothic" w:cs="Century Gothic"/>
          <w:color w:val="000000"/>
          <w:sz w:val="18"/>
          <w:szCs w:val="18"/>
        </w:rPr>
        <w:t>Antes de incorporar a los Subencargados, Google lleva a cabo una auditoría de las prácticas de seguridad y privacidad de los Subencargados para garantizar que proporcionen un nivel de seguridad y privacidad apropiado para su acceso a los datos y el alcance de los servicios que están comprometidos a brindar. Una vez que Google haya evaluado los riesgos presentados por el Subencargado, sujeto a los requisitos descritos en la Sección 11.3 (Requisitos para la participación del Subencargado), el Subencargado deberá celebrar los términos apropiados del contrato de seguridad, confidencialidad y privacidad.</w:t>
      </w:r>
    </w:p>
  </w:footnote>
  <w:footnote w:id="77">
    <w:p w14:paraId="45E63480" w14:textId="77777777" w:rsidR="00B7448E" w:rsidRPr="00961DB4" w:rsidRDefault="00B7448E"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Ver: Google. ¿Qué es una red neuronal?. Disponible en el siguiente enlace: </w:t>
      </w:r>
      <w:hyperlink r:id="rId36">
        <w:r w:rsidRPr="00961DB4">
          <w:rPr>
            <w:rFonts w:ascii="Century Gothic" w:eastAsia="Century Gothic" w:hAnsi="Century Gothic" w:cs="Century Gothic"/>
            <w:color w:val="467886"/>
            <w:sz w:val="18"/>
            <w:szCs w:val="18"/>
            <w:u w:val="single"/>
          </w:rPr>
          <w:t>https://cloud.google.com/discover/what-is-a-neural-network?hl=es-419</w:t>
        </w:r>
      </w:hyperlink>
    </w:p>
    <w:p w14:paraId="2B78F256" w14:textId="77777777" w:rsidR="00B7448E" w:rsidRPr="00961DB4" w:rsidRDefault="00B7448E" w:rsidP="00961DB4">
      <w:pPr>
        <w:pBdr>
          <w:top w:val="nil"/>
          <w:left w:val="nil"/>
          <w:bottom w:val="nil"/>
          <w:right w:val="nil"/>
          <w:between w:val="nil"/>
        </w:pBdr>
        <w:spacing w:after="80" w:line="240" w:lineRule="auto"/>
        <w:jc w:val="both"/>
        <w:rPr>
          <w:rFonts w:ascii="Century Gothic" w:eastAsia="Century Gothic" w:hAnsi="Century Gothic" w:cs="Century Gothic"/>
          <w:i/>
          <w:iCs/>
          <w:color w:val="000000"/>
          <w:sz w:val="18"/>
          <w:szCs w:val="18"/>
        </w:rPr>
      </w:pPr>
      <w:r w:rsidRPr="00961DB4">
        <w:rPr>
          <w:rFonts w:ascii="Century Gothic" w:eastAsia="Century Gothic" w:hAnsi="Century Gothic" w:cs="Century Gothic"/>
          <w:i/>
          <w:iCs/>
          <w:color w:val="000000"/>
          <w:sz w:val="18"/>
          <w:szCs w:val="18"/>
        </w:rPr>
        <w:t>¿Qué es una red neuronal?</w:t>
      </w:r>
    </w:p>
    <w:p w14:paraId="59F58CEE" w14:textId="77777777" w:rsidR="00B7448E" w:rsidRPr="00961DB4" w:rsidRDefault="00B7448E" w:rsidP="00961DB4">
      <w:pPr>
        <w:pBdr>
          <w:top w:val="nil"/>
          <w:left w:val="nil"/>
          <w:bottom w:val="nil"/>
          <w:right w:val="nil"/>
          <w:between w:val="nil"/>
        </w:pBdr>
        <w:spacing w:after="80" w:line="240" w:lineRule="auto"/>
        <w:jc w:val="both"/>
        <w:rPr>
          <w:rFonts w:ascii="Century Gothic" w:eastAsia="Century Gothic" w:hAnsi="Century Gothic" w:cs="Century Gothic"/>
          <w:i/>
          <w:iCs/>
          <w:color w:val="000000"/>
          <w:sz w:val="18"/>
          <w:szCs w:val="18"/>
        </w:rPr>
      </w:pPr>
      <w:r w:rsidRPr="00961DB4">
        <w:rPr>
          <w:rFonts w:ascii="Century Gothic" w:eastAsia="Century Gothic" w:hAnsi="Century Gothic" w:cs="Century Gothic"/>
          <w:i/>
          <w:iCs/>
          <w:color w:val="000000"/>
          <w:sz w:val="18"/>
          <w:szCs w:val="18"/>
        </w:rPr>
        <w:t>Una red neuronal es un tipo de algoritmo de aprendizaje automático inspirado en el cerebro humano. Es una herramienta potente que se destaca en resolver problemas complejos más difíciles de manejar para los algoritmos informáticos tradicionales, como el reconocimiento de imágenes y el procesamiento de lenguaje natural. (…)</w:t>
      </w:r>
    </w:p>
    <w:p w14:paraId="3C2C6F70" w14:textId="77777777" w:rsidR="00B7448E" w:rsidRPr="00961DB4" w:rsidRDefault="00B7448E" w:rsidP="00961DB4">
      <w:pPr>
        <w:pBdr>
          <w:top w:val="nil"/>
          <w:left w:val="nil"/>
          <w:bottom w:val="nil"/>
          <w:right w:val="nil"/>
          <w:between w:val="nil"/>
        </w:pBdr>
        <w:spacing w:after="80" w:line="240" w:lineRule="auto"/>
        <w:jc w:val="both"/>
        <w:rPr>
          <w:rFonts w:ascii="Century Gothic" w:eastAsia="Century Gothic" w:hAnsi="Century Gothic" w:cs="Century Gothic"/>
          <w:i/>
          <w:iCs/>
          <w:color w:val="000000"/>
          <w:sz w:val="18"/>
          <w:szCs w:val="18"/>
        </w:rPr>
      </w:pPr>
      <w:r w:rsidRPr="00961DB4">
        <w:rPr>
          <w:rFonts w:ascii="Century Gothic" w:eastAsia="Century Gothic" w:hAnsi="Century Gothic" w:cs="Century Gothic"/>
          <w:i/>
          <w:iCs/>
          <w:color w:val="000000"/>
          <w:sz w:val="18"/>
          <w:szCs w:val="18"/>
        </w:rPr>
        <w:t>Este proceso de aprendizaje les permite hacer predicciones y reconocer patrones, lo que impulsa su amplia adopción en diversas aplicaciones, como el reconocimiento de imágenes, el procesamiento de lenguaje natural y la traducción automática.</w:t>
      </w:r>
    </w:p>
    <w:p w14:paraId="0FBBE186" w14:textId="77777777" w:rsidR="00B7448E" w:rsidRPr="00961DB4" w:rsidRDefault="00B7448E" w:rsidP="00961DB4">
      <w:pPr>
        <w:pBdr>
          <w:top w:val="nil"/>
          <w:left w:val="nil"/>
          <w:bottom w:val="nil"/>
          <w:right w:val="nil"/>
          <w:between w:val="nil"/>
        </w:pBdr>
        <w:spacing w:after="80" w:line="240" w:lineRule="auto"/>
        <w:jc w:val="both"/>
        <w:rPr>
          <w:rFonts w:ascii="Century Gothic" w:eastAsia="Century Gothic" w:hAnsi="Century Gothic" w:cs="Century Gothic"/>
          <w:i/>
          <w:iCs/>
          <w:color w:val="000000"/>
          <w:sz w:val="18"/>
          <w:szCs w:val="18"/>
        </w:rPr>
      </w:pPr>
      <w:r w:rsidRPr="00961DB4">
        <w:rPr>
          <w:rFonts w:ascii="Century Gothic" w:eastAsia="Century Gothic" w:hAnsi="Century Gothic" w:cs="Century Gothic"/>
          <w:i/>
          <w:iCs/>
          <w:color w:val="000000"/>
          <w:sz w:val="18"/>
          <w:szCs w:val="18"/>
        </w:rPr>
        <w:t>¿Cómo funcionan las redes neuronales?</w:t>
      </w:r>
    </w:p>
    <w:p w14:paraId="35C7903F" w14:textId="77777777" w:rsidR="00B7448E" w:rsidRPr="00961DB4" w:rsidRDefault="00B7448E" w:rsidP="00961DB4">
      <w:pPr>
        <w:pBdr>
          <w:top w:val="nil"/>
          <w:left w:val="nil"/>
          <w:bottom w:val="nil"/>
          <w:right w:val="nil"/>
          <w:between w:val="nil"/>
        </w:pBdr>
        <w:spacing w:after="80" w:line="240" w:lineRule="auto"/>
        <w:jc w:val="both"/>
        <w:rPr>
          <w:rFonts w:ascii="Century Gothic" w:eastAsia="Century Gothic" w:hAnsi="Century Gothic" w:cs="Century Gothic"/>
          <w:i/>
          <w:iCs/>
          <w:color w:val="000000"/>
          <w:sz w:val="18"/>
          <w:szCs w:val="18"/>
        </w:rPr>
      </w:pPr>
      <w:r w:rsidRPr="00961DB4">
        <w:rPr>
          <w:rFonts w:ascii="Century Gothic" w:eastAsia="Century Gothic" w:hAnsi="Century Gothic" w:cs="Century Gothic"/>
          <w:i/>
          <w:iCs/>
          <w:color w:val="000000"/>
          <w:sz w:val="18"/>
          <w:szCs w:val="18"/>
        </w:rPr>
        <w:t>El aprendizaje en las redes neuronales se produce cuando se crean conexiones y se ajustan sus pesos entre las neuronas mediante un proceso llamado entrenamiento. Esto implica alimentar la red con grandes conjuntos de datos que luego usa para definir mejor sus ponderaciones y minimizar errores entre sus predicciones y los valores reales. (…)</w:t>
      </w:r>
    </w:p>
    <w:p w14:paraId="43F58E10" w14:textId="77777777" w:rsidR="00B7448E" w:rsidRPr="00961DB4" w:rsidRDefault="00B7448E" w:rsidP="00961DB4">
      <w:pPr>
        <w:pBdr>
          <w:top w:val="nil"/>
          <w:left w:val="nil"/>
          <w:bottom w:val="nil"/>
          <w:right w:val="nil"/>
          <w:between w:val="nil"/>
        </w:pBdr>
        <w:spacing w:after="80" w:line="240" w:lineRule="auto"/>
        <w:jc w:val="both"/>
        <w:rPr>
          <w:rFonts w:ascii="Century Gothic" w:eastAsia="Century Gothic" w:hAnsi="Century Gothic" w:cs="Century Gothic"/>
          <w:i/>
          <w:iCs/>
          <w:color w:val="000000"/>
          <w:sz w:val="18"/>
          <w:szCs w:val="18"/>
        </w:rPr>
      </w:pPr>
      <w:r w:rsidRPr="00961DB4">
        <w:rPr>
          <w:rFonts w:ascii="Century Gothic" w:eastAsia="Century Gothic" w:hAnsi="Century Gothic" w:cs="Century Gothic"/>
          <w:i/>
          <w:iCs/>
          <w:color w:val="000000"/>
          <w:sz w:val="18"/>
          <w:szCs w:val="18"/>
        </w:rPr>
        <w:t>Ejemplos de redes neuronales:</w:t>
      </w:r>
    </w:p>
    <w:p w14:paraId="3E57D919" w14:textId="77777777" w:rsidR="00B7448E" w:rsidRPr="00961DB4" w:rsidRDefault="00B7448E" w:rsidP="00961DB4">
      <w:pPr>
        <w:pBdr>
          <w:top w:val="nil"/>
          <w:left w:val="nil"/>
          <w:bottom w:val="nil"/>
          <w:right w:val="nil"/>
          <w:between w:val="nil"/>
        </w:pBdr>
        <w:spacing w:after="80" w:line="240" w:lineRule="auto"/>
        <w:jc w:val="both"/>
        <w:rPr>
          <w:rFonts w:ascii="Century Gothic" w:eastAsia="Century Gothic" w:hAnsi="Century Gothic" w:cs="Century Gothic"/>
          <w:i/>
          <w:iCs/>
          <w:color w:val="000000"/>
          <w:sz w:val="18"/>
          <w:szCs w:val="18"/>
        </w:rPr>
      </w:pPr>
      <w:r w:rsidRPr="00961DB4">
        <w:rPr>
          <w:rFonts w:ascii="Century Gothic" w:eastAsia="Century Gothic" w:hAnsi="Century Gothic" w:cs="Century Gothic"/>
          <w:i/>
          <w:iCs/>
          <w:color w:val="000000"/>
          <w:sz w:val="18"/>
          <w:szCs w:val="18"/>
        </w:rPr>
        <w:t>(…)</w:t>
      </w:r>
    </w:p>
    <w:p w14:paraId="4B307364" w14:textId="77777777" w:rsidR="00B7448E" w:rsidRPr="00961DB4" w:rsidRDefault="00B7448E" w:rsidP="00961DB4">
      <w:pPr>
        <w:pBdr>
          <w:top w:val="nil"/>
          <w:left w:val="nil"/>
          <w:bottom w:val="nil"/>
          <w:right w:val="nil"/>
          <w:between w:val="nil"/>
        </w:pBdr>
        <w:spacing w:after="80" w:line="240" w:lineRule="auto"/>
        <w:jc w:val="both"/>
        <w:rPr>
          <w:rFonts w:ascii="Century Gothic" w:eastAsia="Century Gothic" w:hAnsi="Century Gothic" w:cs="Century Gothic"/>
          <w:i/>
          <w:iCs/>
          <w:color w:val="000000"/>
          <w:sz w:val="18"/>
          <w:szCs w:val="18"/>
        </w:rPr>
      </w:pPr>
      <w:r w:rsidRPr="00961DB4">
        <w:rPr>
          <w:rFonts w:ascii="Century Gothic" w:eastAsia="Century Gothic" w:hAnsi="Century Gothic" w:cs="Century Gothic"/>
          <w:b/>
          <w:bCs/>
          <w:i/>
          <w:iCs/>
          <w:color w:val="000000"/>
          <w:sz w:val="18"/>
          <w:szCs w:val="18"/>
        </w:rPr>
        <w:t>Reconocimiento facial: </w:t>
      </w:r>
      <w:r w:rsidRPr="00961DB4">
        <w:rPr>
          <w:rFonts w:ascii="Century Gothic" w:eastAsia="Century Gothic" w:hAnsi="Century Gothic" w:cs="Century Gothic"/>
          <w:i/>
          <w:iCs/>
          <w:color w:val="000000"/>
          <w:sz w:val="18"/>
          <w:szCs w:val="18"/>
        </w:rPr>
        <w:t>Los sistemas de seguridad, el etiquetado de redes sociales y la publicidad personalizada utilizan el poder de las redes neuronales para el reconocimiento facial.</w:t>
      </w:r>
    </w:p>
  </w:footnote>
  <w:footnote w:id="78">
    <w:p w14:paraId="1CC79EF8" w14:textId="77777777" w:rsidR="00B7448E" w:rsidRPr="00961DB4" w:rsidRDefault="00B7448E"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Ver: GOOGLE. Anexo de Tratamiento de Datos de Cloud (Clientes) Google. Disponible en el siguiente enlace: https://cloud.google.com/terms/data-processing-addendum?hl=es-419</w:t>
      </w:r>
    </w:p>
  </w:footnote>
  <w:footnote w:id="79">
    <w:p w14:paraId="312A4931" w14:textId="77777777" w:rsidR="00B7448E" w:rsidRPr="00961DB4" w:rsidRDefault="00B7448E"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Idem.</w:t>
      </w:r>
    </w:p>
    <w:p w14:paraId="3E46A003" w14:textId="77777777" w:rsidR="00B7448E" w:rsidRPr="00961DB4" w:rsidRDefault="00B7448E" w:rsidP="00961DB4">
      <w:pPr>
        <w:pBdr>
          <w:top w:val="nil"/>
          <w:left w:val="nil"/>
          <w:bottom w:val="nil"/>
          <w:right w:val="nil"/>
          <w:between w:val="nil"/>
        </w:pBdr>
        <w:spacing w:after="80" w:line="240" w:lineRule="auto"/>
        <w:jc w:val="both"/>
        <w:rPr>
          <w:rFonts w:ascii="Century Gothic" w:eastAsia="Century Gothic" w:hAnsi="Century Gothic" w:cs="Century Gothic"/>
          <w:b/>
          <w:bCs/>
          <w:color w:val="000000"/>
          <w:sz w:val="18"/>
          <w:szCs w:val="18"/>
        </w:rPr>
      </w:pPr>
      <w:r w:rsidRPr="00961DB4">
        <w:rPr>
          <w:rFonts w:ascii="Century Gothic" w:eastAsia="Century Gothic" w:hAnsi="Century Gothic" w:cs="Century Gothic"/>
          <w:b/>
          <w:bCs/>
          <w:color w:val="000000"/>
          <w:sz w:val="18"/>
          <w:szCs w:val="18"/>
        </w:rPr>
        <w:t>Términos Generales</w:t>
      </w:r>
    </w:p>
    <w:p w14:paraId="36756A4F" w14:textId="77777777" w:rsidR="00B7448E" w:rsidRPr="00961DB4" w:rsidRDefault="00B7448E"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eastAsia="Century Gothic" w:hAnsi="Century Gothic" w:cs="Century Gothic"/>
          <w:color w:val="000000"/>
          <w:sz w:val="18"/>
          <w:szCs w:val="18"/>
        </w:rPr>
        <w:t>(…)</w:t>
      </w:r>
    </w:p>
    <w:p w14:paraId="517C1CA9" w14:textId="77777777" w:rsidR="00B7448E" w:rsidRPr="00961DB4" w:rsidRDefault="00B7448E"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eastAsia="Century Gothic" w:hAnsi="Century Gothic" w:cs="Century Gothic"/>
          <w:color w:val="000000"/>
          <w:sz w:val="18"/>
          <w:szCs w:val="18"/>
        </w:rPr>
        <w:t>11.3 Requisitos para la contratación del Subencargado. Al contratar a cualquier Subencargado, Google hará lo siguiente:</w:t>
      </w:r>
    </w:p>
    <w:p w14:paraId="21644F92" w14:textId="77777777" w:rsidR="00B7448E" w:rsidRPr="00961DB4" w:rsidRDefault="00B7448E"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eastAsia="Century Gothic" w:hAnsi="Century Gothic" w:cs="Century Gothic"/>
          <w:color w:val="000000"/>
          <w:sz w:val="18"/>
          <w:szCs w:val="18"/>
        </w:rPr>
        <w:t>a. garantizar mediante un contrato escrito que:</w:t>
      </w:r>
    </w:p>
    <w:p w14:paraId="204D5527" w14:textId="77777777" w:rsidR="00B7448E" w:rsidRPr="00961DB4" w:rsidRDefault="00B7448E"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eastAsia="Century Gothic" w:hAnsi="Century Gothic" w:cs="Century Gothic"/>
          <w:color w:val="000000"/>
          <w:sz w:val="18"/>
          <w:szCs w:val="18"/>
        </w:rPr>
        <w:t>i. el Subencargado únicamente accede y utiliza los Datos del Cliente en la medida necesaria para cumplir con las obligaciones que se le subcontratan, y lo hace de conformidad con el Acuerdo aplicable (incluyendo este Anexo); y</w:t>
      </w:r>
    </w:p>
    <w:p w14:paraId="51C88D16" w14:textId="77777777" w:rsidR="00B7448E" w:rsidRPr="00961DB4" w:rsidRDefault="00B7448E"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eastAsia="Century Gothic" w:hAnsi="Century Gothic" w:cs="Century Gothic"/>
          <w:color w:val="000000"/>
          <w:sz w:val="18"/>
          <w:szCs w:val="18"/>
        </w:rPr>
        <w:t>ii. si así lo exigen las Leyes de Privacidad Aplicables, las obligaciones de protección de datos descritas en este Anexo se imponen al Subencargado (como se puede describir con más detalle en el Apéndice 3 (Leyes de privacidad específicas)); y</w:t>
      </w:r>
    </w:p>
    <w:p w14:paraId="15D96F9E" w14:textId="77777777" w:rsidR="00B7448E" w:rsidRPr="00961DB4" w:rsidRDefault="00B7448E"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eastAsia="Century Gothic" w:hAnsi="Century Gothic" w:cs="Century Gothic"/>
          <w:color w:val="000000"/>
          <w:sz w:val="18"/>
          <w:szCs w:val="18"/>
        </w:rPr>
        <w:t>b. seguirá siendo totalmente responsable de todas las obligaciones subcontratadas y de todos los actos y omisiones del Subencargado.</w:t>
      </w:r>
    </w:p>
  </w:footnote>
  <w:footnote w:id="80">
    <w:p w14:paraId="519BC615" w14:textId="77777777" w:rsidR="00B7448E" w:rsidRPr="00961DB4" w:rsidRDefault="00B7448E"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Idem.</w:t>
      </w:r>
    </w:p>
    <w:p w14:paraId="600AEA9E" w14:textId="77777777" w:rsidR="00B7448E" w:rsidRPr="00961DB4" w:rsidRDefault="00B7448E" w:rsidP="00961DB4">
      <w:pPr>
        <w:pBdr>
          <w:top w:val="nil"/>
          <w:left w:val="nil"/>
          <w:bottom w:val="nil"/>
          <w:right w:val="nil"/>
          <w:between w:val="nil"/>
        </w:pBdr>
        <w:spacing w:after="80" w:line="240" w:lineRule="auto"/>
        <w:jc w:val="both"/>
        <w:rPr>
          <w:rFonts w:ascii="Century Gothic" w:eastAsia="Century Gothic" w:hAnsi="Century Gothic" w:cs="Century Gothic"/>
          <w:b/>
          <w:bCs/>
          <w:color w:val="000000"/>
          <w:sz w:val="18"/>
          <w:szCs w:val="18"/>
        </w:rPr>
      </w:pPr>
      <w:r w:rsidRPr="00961DB4">
        <w:rPr>
          <w:rFonts w:ascii="Century Gothic" w:eastAsia="Century Gothic" w:hAnsi="Century Gothic" w:cs="Century Gothic"/>
          <w:b/>
          <w:bCs/>
          <w:color w:val="000000"/>
          <w:sz w:val="18"/>
          <w:szCs w:val="18"/>
        </w:rPr>
        <w:t>Apéndice 2: Medidas de Seguridad</w:t>
      </w:r>
    </w:p>
    <w:p w14:paraId="1DD7AB2F" w14:textId="77777777" w:rsidR="00B7448E" w:rsidRPr="00961DB4" w:rsidRDefault="00B7448E"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eastAsia="Century Gothic" w:hAnsi="Century Gothic" w:cs="Century Gothic"/>
          <w:color w:val="000000"/>
          <w:sz w:val="18"/>
          <w:szCs w:val="18"/>
        </w:rPr>
        <w:t>5. Seguridad del Subencargado</w:t>
      </w:r>
    </w:p>
    <w:p w14:paraId="75CEE03F" w14:textId="77777777" w:rsidR="00B7448E" w:rsidRPr="00961DB4" w:rsidRDefault="00B7448E"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eastAsia="Century Gothic" w:hAnsi="Century Gothic" w:cs="Century Gothic"/>
          <w:color w:val="000000"/>
          <w:sz w:val="18"/>
          <w:szCs w:val="18"/>
        </w:rPr>
        <w:t>Antes de incorporar a los Subencargados, Google lleva a cabo una auditoría de las prácticas de seguridad y privacidad de los Subencargados para garantizar que proporcionen un nivel de seguridad y privacidad apropiado para su acceso a los datos y el alcance de los servicios que están comprometidos a brindar. Una vez que Google haya evaluado los riesgos presentados por el Subencargado, sujeto a los requisitos descritos en la Sección 11.3 (Requisitos para la participación del Subencargado), el Subencargado deberá celebrar los términos apropiados del contrato de seguridad, confidencialidad y privacidad.</w:t>
      </w:r>
    </w:p>
  </w:footnote>
  <w:footnote w:id="81">
    <w:p w14:paraId="025948E3" w14:textId="77777777" w:rsidR="00E7454D" w:rsidRPr="00961DB4" w:rsidRDefault="00E7454D"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Ver: Google. ¿Qué es una red neuronal?. Disponible en el siguiente enlace: </w:t>
      </w:r>
      <w:hyperlink r:id="rId37">
        <w:r w:rsidRPr="00961DB4">
          <w:rPr>
            <w:rFonts w:ascii="Century Gothic" w:eastAsia="Century Gothic" w:hAnsi="Century Gothic" w:cs="Century Gothic"/>
            <w:color w:val="467886"/>
            <w:sz w:val="18"/>
            <w:szCs w:val="18"/>
            <w:u w:val="single"/>
          </w:rPr>
          <w:t>https://cloud.google.com/discover/what-is-a-neural-network?hl=es-419</w:t>
        </w:r>
      </w:hyperlink>
    </w:p>
    <w:p w14:paraId="364DCF3C" w14:textId="77777777" w:rsidR="00E7454D" w:rsidRPr="00961DB4" w:rsidRDefault="00E7454D" w:rsidP="00961DB4">
      <w:pPr>
        <w:pBdr>
          <w:top w:val="nil"/>
          <w:left w:val="nil"/>
          <w:bottom w:val="nil"/>
          <w:right w:val="nil"/>
          <w:between w:val="nil"/>
        </w:pBdr>
        <w:spacing w:after="80" w:line="240" w:lineRule="auto"/>
        <w:jc w:val="both"/>
        <w:rPr>
          <w:rFonts w:ascii="Century Gothic" w:eastAsia="Century Gothic" w:hAnsi="Century Gothic" w:cs="Century Gothic"/>
          <w:i/>
          <w:iCs/>
          <w:color w:val="000000"/>
          <w:sz w:val="18"/>
          <w:szCs w:val="18"/>
        </w:rPr>
      </w:pPr>
      <w:r w:rsidRPr="00961DB4">
        <w:rPr>
          <w:rFonts w:ascii="Century Gothic" w:eastAsia="Century Gothic" w:hAnsi="Century Gothic" w:cs="Century Gothic"/>
          <w:i/>
          <w:iCs/>
          <w:color w:val="000000"/>
          <w:sz w:val="18"/>
          <w:szCs w:val="18"/>
        </w:rPr>
        <w:t>¿Qué es una red neuronal?</w:t>
      </w:r>
    </w:p>
    <w:p w14:paraId="6213EF10" w14:textId="77777777" w:rsidR="00E7454D" w:rsidRPr="00961DB4" w:rsidRDefault="00E7454D" w:rsidP="00961DB4">
      <w:pPr>
        <w:pBdr>
          <w:top w:val="nil"/>
          <w:left w:val="nil"/>
          <w:bottom w:val="nil"/>
          <w:right w:val="nil"/>
          <w:between w:val="nil"/>
        </w:pBdr>
        <w:spacing w:after="80" w:line="240" w:lineRule="auto"/>
        <w:jc w:val="both"/>
        <w:rPr>
          <w:rFonts w:ascii="Century Gothic" w:eastAsia="Century Gothic" w:hAnsi="Century Gothic" w:cs="Century Gothic"/>
          <w:i/>
          <w:iCs/>
          <w:color w:val="000000"/>
          <w:sz w:val="18"/>
          <w:szCs w:val="18"/>
        </w:rPr>
      </w:pPr>
      <w:r w:rsidRPr="00961DB4">
        <w:rPr>
          <w:rFonts w:ascii="Century Gothic" w:eastAsia="Century Gothic" w:hAnsi="Century Gothic" w:cs="Century Gothic"/>
          <w:i/>
          <w:iCs/>
          <w:color w:val="000000"/>
          <w:sz w:val="18"/>
          <w:szCs w:val="18"/>
        </w:rPr>
        <w:t>Una red neuronal es un tipo de algoritmo de aprendizaje automático inspirado en el cerebro humano. Es una herramienta potente que se destaca en resolver problemas complejos más difíciles de manejar para los algoritmos informáticos tradicionales, como el reconocimiento de imágenes y el procesamiento de lenguaje natural. (…)</w:t>
      </w:r>
    </w:p>
    <w:p w14:paraId="31C7277C" w14:textId="77777777" w:rsidR="00E7454D" w:rsidRPr="00961DB4" w:rsidRDefault="00E7454D" w:rsidP="00961DB4">
      <w:pPr>
        <w:pBdr>
          <w:top w:val="nil"/>
          <w:left w:val="nil"/>
          <w:bottom w:val="nil"/>
          <w:right w:val="nil"/>
          <w:between w:val="nil"/>
        </w:pBdr>
        <w:spacing w:after="80" w:line="240" w:lineRule="auto"/>
        <w:jc w:val="both"/>
        <w:rPr>
          <w:rFonts w:ascii="Century Gothic" w:eastAsia="Century Gothic" w:hAnsi="Century Gothic" w:cs="Century Gothic"/>
          <w:i/>
          <w:iCs/>
          <w:color w:val="000000"/>
          <w:sz w:val="18"/>
          <w:szCs w:val="18"/>
        </w:rPr>
      </w:pPr>
      <w:r w:rsidRPr="00961DB4">
        <w:rPr>
          <w:rFonts w:ascii="Century Gothic" w:eastAsia="Century Gothic" w:hAnsi="Century Gothic" w:cs="Century Gothic"/>
          <w:i/>
          <w:iCs/>
          <w:color w:val="000000"/>
          <w:sz w:val="18"/>
          <w:szCs w:val="18"/>
        </w:rPr>
        <w:t>Este proceso de aprendizaje les permite hacer predicciones y reconocer patrones, lo que impulsa su amplia adopción en diversas aplicaciones, como el reconocimiento de imágenes, el procesamiento de lenguaje natural y la traducción automática.</w:t>
      </w:r>
    </w:p>
    <w:p w14:paraId="40427E63" w14:textId="77777777" w:rsidR="00E7454D" w:rsidRPr="00961DB4" w:rsidRDefault="00E7454D" w:rsidP="00961DB4">
      <w:pPr>
        <w:pBdr>
          <w:top w:val="nil"/>
          <w:left w:val="nil"/>
          <w:bottom w:val="nil"/>
          <w:right w:val="nil"/>
          <w:between w:val="nil"/>
        </w:pBdr>
        <w:spacing w:after="80" w:line="240" w:lineRule="auto"/>
        <w:jc w:val="both"/>
        <w:rPr>
          <w:rFonts w:ascii="Century Gothic" w:eastAsia="Century Gothic" w:hAnsi="Century Gothic" w:cs="Century Gothic"/>
          <w:i/>
          <w:iCs/>
          <w:color w:val="000000"/>
          <w:sz w:val="18"/>
          <w:szCs w:val="18"/>
        </w:rPr>
      </w:pPr>
      <w:r w:rsidRPr="00961DB4">
        <w:rPr>
          <w:rFonts w:ascii="Century Gothic" w:eastAsia="Century Gothic" w:hAnsi="Century Gothic" w:cs="Century Gothic"/>
          <w:i/>
          <w:iCs/>
          <w:color w:val="000000"/>
          <w:sz w:val="18"/>
          <w:szCs w:val="18"/>
        </w:rPr>
        <w:t>¿Cómo funcionan las redes neuronales?</w:t>
      </w:r>
    </w:p>
    <w:p w14:paraId="51F77A99" w14:textId="77777777" w:rsidR="00E7454D" w:rsidRPr="00961DB4" w:rsidRDefault="00E7454D" w:rsidP="00961DB4">
      <w:pPr>
        <w:pBdr>
          <w:top w:val="nil"/>
          <w:left w:val="nil"/>
          <w:bottom w:val="nil"/>
          <w:right w:val="nil"/>
          <w:between w:val="nil"/>
        </w:pBdr>
        <w:spacing w:after="80" w:line="240" w:lineRule="auto"/>
        <w:jc w:val="both"/>
        <w:rPr>
          <w:rFonts w:ascii="Century Gothic" w:eastAsia="Century Gothic" w:hAnsi="Century Gothic" w:cs="Century Gothic"/>
          <w:i/>
          <w:iCs/>
          <w:color w:val="000000"/>
          <w:sz w:val="18"/>
          <w:szCs w:val="18"/>
        </w:rPr>
      </w:pPr>
      <w:r w:rsidRPr="00961DB4">
        <w:rPr>
          <w:rFonts w:ascii="Century Gothic" w:eastAsia="Century Gothic" w:hAnsi="Century Gothic" w:cs="Century Gothic"/>
          <w:i/>
          <w:iCs/>
          <w:color w:val="000000"/>
          <w:sz w:val="18"/>
          <w:szCs w:val="18"/>
        </w:rPr>
        <w:t>El aprendizaje en las redes neuronales se produce cuando se crean conexiones y se ajustan sus pesos entre las neuronas mediante un proceso llamado entrenamiento. Esto implica alimentar la red con grandes conjuntos de datos que luego usa para definir mejor sus ponderaciones y minimizar errores entre sus predicciones y los valores reales. (…)</w:t>
      </w:r>
    </w:p>
    <w:p w14:paraId="1E27293C" w14:textId="77777777" w:rsidR="00E7454D" w:rsidRPr="00961DB4" w:rsidRDefault="00E7454D" w:rsidP="00961DB4">
      <w:pPr>
        <w:pBdr>
          <w:top w:val="nil"/>
          <w:left w:val="nil"/>
          <w:bottom w:val="nil"/>
          <w:right w:val="nil"/>
          <w:between w:val="nil"/>
        </w:pBdr>
        <w:spacing w:after="80" w:line="240" w:lineRule="auto"/>
        <w:jc w:val="both"/>
        <w:rPr>
          <w:rFonts w:ascii="Century Gothic" w:eastAsia="Century Gothic" w:hAnsi="Century Gothic" w:cs="Century Gothic"/>
          <w:i/>
          <w:iCs/>
          <w:color w:val="000000"/>
          <w:sz w:val="18"/>
          <w:szCs w:val="18"/>
        </w:rPr>
      </w:pPr>
      <w:r w:rsidRPr="00961DB4">
        <w:rPr>
          <w:rFonts w:ascii="Century Gothic" w:eastAsia="Century Gothic" w:hAnsi="Century Gothic" w:cs="Century Gothic"/>
          <w:i/>
          <w:iCs/>
          <w:color w:val="000000"/>
          <w:sz w:val="18"/>
          <w:szCs w:val="18"/>
        </w:rPr>
        <w:t>Ejemplos de redes neuronales:</w:t>
      </w:r>
    </w:p>
    <w:p w14:paraId="5F659A9E" w14:textId="77777777" w:rsidR="00E7454D" w:rsidRPr="00961DB4" w:rsidRDefault="00E7454D" w:rsidP="00961DB4">
      <w:pPr>
        <w:pBdr>
          <w:top w:val="nil"/>
          <w:left w:val="nil"/>
          <w:bottom w:val="nil"/>
          <w:right w:val="nil"/>
          <w:between w:val="nil"/>
        </w:pBdr>
        <w:spacing w:after="80" w:line="240" w:lineRule="auto"/>
        <w:jc w:val="both"/>
        <w:rPr>
          <w:rFonts w:ascii="Century Gothic" w:eastAsia="Century Gothic" w:hAnsi="Century Gothic" w:cs="Century Gothic"/>
          <w:i/>
          <w:iCs/>
          <w:color w:val="000000"/>
          <w:sz w:val="18"/>
          <w:szCs w:val="18"/>
        </w:rPr>
      </w:pPr>
      <w:r w:rsidRPr="00961DB4">
        <w:rPr>
          <w:rFonts w:ascii="Century Gothic" w:eastAsia="Century Gothic" w:hAnsi="Century Gothic" w:cs="Century Gothic"/>
          <w:i/>
          <w:iCs/>
          <w:color w:val="000000"/>
          <w:sz w:val="18"/>
          <w:szCs w:val="18"/>
        </w:rPr>
        <w:t>(…)</w:t>
      </w:r>
    </w:p>
    <w:p w14:paraId="57E98599" w14:textId="77777777" w:rsidR="00E7454D" w:rsidRPr="00961DB4" w:rsidRDefault="00E7454D" w:rsidP="00961DB4">
      <w:pPr>
        <w:pBdr>
          <w:top w:val="nil"/>
          <w:left w:val="nil"/>
          <w:bottom w:val="nil"/>
          <w:right w:val="nil"/>
          <w:between w:val="nil"/>
        </w:pBdr>
        <w:spacing w:after="80" w:line="240" w:lineRule="auto"/>
        <w:jc w:val="both"/>
        <w:rPr>
          <w:rFonts w:ascii="Century Gothic" w:eastAsia="Century Gothic" w:hAnsi="Century Gothic" w:cs="Century Gothic"/>
          <w:i/>
          <w:iCs/>
          <w:color w:val="000000"/>
          <w:sz w:val="18"/>
          <w:szCs w:val="18"/>
        </w:rPr>
      </w:pPr>
      <w:r w:rsidRPr="00961DB4">
        <w:rPr>
          <w:rFonts w:ascii="Century Gothic" w:eastAsia="Century Gothic" w:hAnsi="Century Gothic" w:cs="Century Gothic"/>
          <w:b/>
          <w:bCs/>
          <w:i/>
          <w:iCs/>
          <w:color w:val="000000"/>
          <w:sz w:val="18"/>
          <w:szCs w:val="18"/>
        </w:rPr>
        <w:t>Reconocimiento facial: </w:t>
      </w:r>
      <w:r w:rsidRPr="00961DB4">
        <w:rPr>
          <w:rFonts w:ascii="Century Gothic" w:eastAsia="Century Gothic" w:hAnsi="Century Gothic" w:cs="Century Gothic"/>
          <w:i/>
          <w:iCs/>
          <w:color w:val="000000"/>
          <w:sz w:val="18"/>
          <w:szCs w:val="18"/>
        </w:rPr>
        <w:t>Los sistemas de seguridad, el etiquetado de redes sociales y la publicidad personalizada utilizan el poder de las redes neuronales para el reconocimiento facial.</w:t>
      </w:r>
    </w:p>
  </w:footnote>
  <w:footnote w:id="82">
    <w:p w14:paraId="34B7357F" w14:textId="77777777" w:rsidR="00E7454D" w:rsidRPr="00961DB4" w:rsidRDefault="00E7454D"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Ver: GOOGLE. Anexo de Tratamiento de Datos de Cloud (Clientes) Google. Disponible en el siguiente enlace: https://cloud.google.com/terms/data-processing-addendum?hl=es-419</w:t>
      </w:r>
    </w:p>
  </w:footnote>
  <w:footnote w:id="83">
    <w:p w14:paraId="738C06BA" w14:textId="77777777" w:rsidR="00E7454D" w:rsidRPr="00961DB4" w:rsidRDefault="00E7454D"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Idem.</w:t>
      </w:r>
    </w:p>
    <w:p w14:paraId="5DEAF33F" w14:textId="77777777" w:rsidR="00E7454D" w:rsidRPr="00961DB4" w:rsidRDefault="00E7454D" w:rsidP="00961DB4">
      <w:pPr>
        <w:pBdr>
          <w:top w:val="nil"/>
          <w:left w:val="nil"/>
          <w:bottom w:val="nil"/>
          <w:right w:val="nil"/>
          <w:between w:val="nil"/>
        </w:pBdr>
        <w:spacing w:after="80" w:line="240" w:lineRule="auto"/>
        <w:jc w:val="both"/>
        <w:rPr>
          <w:rFonts w:ascii="Century Gothic" w:eastAsia="Century Gothic" w:hAnsi="Century Gothic" w:cs="Century Gothic"/>
          <w:b/>
          <w:bCs/>
          <w:color w:val="000000"/>
          <w:sz w:val="18"/>
          <w:szCs w:val="18"/>
        </w:rPr>
      </w:pPr>
      <w:r w:rsidRPr="00961DB4">
        <w:rPr>
          <w:rFonts w:ascii="Century Gothic" w:eastAsia="Century Gothic" w:hAnsi="Century Gothic" w:cs="Century Gothic"/>
          <w:b/>
          <w:bCs/>
          <w:color w:val="000000"/>
          <w:sz w:val="18"/>
          <w:szCs w:val="18"/>
        </w:rPr>
        <w:t>Términos Generales</w:t>
      </w:r>
    </w:p>
    <w:p w14:paraId="1982A476" w14:textId="77777777" w:rsidR="00E7454D" w:rsidRPr="00961DB4" w:rsidRDefault="00E7454D"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eastAsia="Century Gothic" w:hAnsi="Century Gothic" w:cs="Century Gothic"/>
          <w:color w:val="000000"/>
          <w:sz w:val="18"/>
          <w:szCs w:val="18"/>
        </w:rPr>
        <w:t>(…)</w:t>
      </w:r>
    </w:p>
    <w:p w14:paraId="43EBFDE9" w14:textId="77777777" w:rsidR="00E7454D" w:rsidRPr="00961DB4" w:rsidRDefault="00E7454D"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eastAsia="Century Gothic" w:hAnsi="Century Gothic" w:cs="Century Gothic"/>
          <w:color w:val="000000"/>
          <w:sz w:val="18"/>
          <w:szCs w:val="18"/>
        </w:rPr>
        <w:t>11.3 Requisitos para la contratación del Subencargado. Al contratar a cualquier Subencargado, Google hará lo siguiente:</w:t>
      </w:r>
    </w:p>
    <w:p w14:paraId="4F78B294" w14:textId="77777777" w:rsidR="00E7454D" w:rsidRPr="00961DB4" w:rsidRDefault="00E7454D"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eastAsia="Century Gothic" w:hAnsi="Century Gothic" w:cs="Century Gothic"/>
          <w:color w:val="000000"/>
          <w:sz w:val="18"/>
          <w:szCs w:val="18"/>
        </w:rPr>
        <w:t>a. garantizar mediante un contrato escrito que:</w:t>
      </w:r>
    </w:p>
    <w:p w14:paraId="6467B6EC" w14:textId="77777777" w:rsidR="00E7454D" w:rsidRPr="00961DB4" w:rsidRDefault="00E7454D"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eastAsia="Century Gothic" w:hAnsi="Century Gothic" w:cs="Century Gothic"/>
          <w:color w:val="000000"/>
          <w:sz w:val="18"/>
          <w:szCs w:val="18"/>
        </w:rPr>
        <w:t>i. el Subencargado únicamente accede y utiliza los Datos del Cliente en la medida necesaria para cumplir con las obligaciones que se le subcontratan, y lo hace de conformidad con el Acuerdo aplicable (incluyendo este Anexo); y</w:t>
      </w:r>
    </w:p>
    <w:p w14:paraId="79E16FCC" w14:textId="77777777" w:rsidR="00E7454D" w:rsidRPr="00961DB4" w:rsidRDefault="00E7454D"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eastAsia="Century Gothic" w:hAnsi="Century Gothic" w:cs="Century Gothic"/>
          <w:color w:val="000000"/>
          <w:sz w:val="18"/>
          <w:szCs w:val="18"/>
        </w:rPr>
        <w:t>ii. si así lo exigen las Leyes de Privacidad Aplicables, las obligaciones de protección de datos descritas en este Anexo se imponen al Subencargado (como se puede describir con más detalle en el Apéndice 3 (Leyes de privacidad específicas)); y</w:t>
      </w:r>
    </w:p>
    <w:p w14:paraId="588ACCCF" w14:textId="77777777" w:rsidR="00E7454D" w:rsidRPr="00961DB4" w:rsidRDefault="00E7454D"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eastAsia="Century Gothic" w:hAnsi="Century Gothic" w:cs="Century Gothic"/>
          <w:color w:val="000000"/>
          <w:sz w:val="18"/>
          <w:szCs w:val="18"/>
        </w:rPr>
        <w:t>b. seguirá siendo totalmente responsable de todas las obligaciones subcontratadas y de todos los actos y omisiones del Subencargado.</w:t>
      </w:r>
    </w:p>
  </w:footnote>
  <w:footnote w:id="84">
    <w:p w14:paraId="5FE00A06" w14:textId="77777777" w:rsidR="00E7454D" w:rsidRPr="00961DB4" w:rsidRDefault="00E7454D"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Idem.</w:t>
      </w:r>
    </w:p>
    <w:p w14:paraId="30ED6671" w14:textId="77777777" w:rsidR="00E7454D" w:rsidRPr="00961DB4" w:rsidRDefault="00E7454D" w:rsidP="00961DB4">
      <w:pPr>
        <w:pBdr>
          <w:top w:val="nil"/>
          <w:left w:val="nil"/>
          <w:bottom w:val="nil"/>
          <w:right w:val="nil"/>
          <w:between w:val="nil"/>
        </w:pBdr>
        <w:spacing w:after="80" w:line="240" w:lineRule="auto"/>
        <w:jc w:val="both"/>
        <w:rPr>
          <w:rFonts w:ascii="Century Gothic" w:eastAsia="Century Gothic" w:hAnsi="Century Gothic" w:cs="Century Gothic"/>
          <w:b/>
          <w:bCs/>
          <w:color w:val="000000"/>
          <w:sz w:val="18"/>
          <w:szCs w:val="18"/>
        </w:rPr>
      </w:pPr>
      <w:r w:rsidRPr="00961DB4">
        <w:rPr>
          <w:rFonts w:ascii="Century Gothic" w:eastAsia="Century Gothic" w:hAnsi="Century Gothic" w:cs="Century Gothic"/>
          <w:b/>
          <w:bCs/>
          <w:color w:val="000000"/>
          <w:sz w:val="18"/>
          <w:szCs w:val="18"/>
        </w:rPr>
        <w:t>Apéndice 2: Medidas de Seguridad</w:t>
      </w:r>
    </w:p>
    <w:p w14:paraId="1E7FC3DC" w14:textId="77777777" w:rsidR="00E7454D" w:rsidRPr="00961DB4" w:rsidRDefault="00E7454D"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eastAsia="Century Gothic" w:hAnsi="Century Gothic" w:cs="Century Gothic"/>
          <w:color w:val="000000"/>
          <w:sz w:val="18"/>
          <w:szCs w:val="18"/>
        </w:rPr>
        <w:t>5. Seguridad del Subencargado</w:t>
      </w:r>
    </w:p>
    <w:p w14:paraId="26899B5A" w14:textId="77777777" w:rsidR="00E7454D" w:rsidRPr="00961DB4" w:rsidRDefault="00E7454D"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eastAsia="Century Gothic" w:hAnsi="Century Gothic" w:cs="Century Gothic"/>
          <w:color w:val="000000"/>
          <w:sz w:val="18"/>
          <w:szCs w:val="18"/>
        </w:rPr>
        <w:t>Antes de incorporar a los Subencargados, Google lleva a cabo una auditoría de las prácticas de seguridad y privacidad de los Subencargados para garantizar que proporcionen un nivel de seguridad y privacidad apropiado para su acceso a los datos y el alcance de los servicios que están comprometidos a brindar. Una vez que Google haya evaluado los riesgos presentados por el Subencargado, sujeto a los requisitos descritos en la Sección 11.3 (Requisitos para la participación del Subencargado), el Subencargado deberá celebrar los términos apropiados del contrato de seguridad, confidencialidad y privacidad.</w:t>
      </w:r>
    </w:p>
  </w:footnote>
  <w:footnote w:id="85">
    <w:p w14:paraId="45D8CCBB"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Registro digital: 2013143; Instancia: Primera Sala; Décima Época; Materias(s): Constitucional; Tesis: 1a. CCLXV/2016 (10a.); Fuente: Gaceta del Semanario Judicial de la Federación. Libro 36, Noviembre de 2016, Tomo II, página 902; Tipo: Aislada</w:t>
      </w:r>
    </w:p>
    <w:p w14:paraId="2932F149"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eastAsia="Century Gothic" w:hAnsi="Century Gothic" w:cs="Century Gothic"/>
          <w:color w:val="000000"/>
          <w:sz w:val="18"/>
          <w:szCs w:val="18"/>
        </w:rPr>
        <w:t>PRIMERA ETAPA DEL TEST DE PROPORCIONALIDAD. IDENTIFICACIÓN DE UNA FINALIDAD CONSTITUCIONALMENTE VÁLIDA.</w:t>
      </w:r>
    </w:p>
    <w:p w14:paraId="225F3EB6"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eastAsia="Century Gothic" w:hAnsi="Century Gothic" w:cs="Century Gothic"/>
          <w:color w:val="000000"/>
          <w:sz w:val="18"/>
          <w:szCs w:val="18"/>
        </w:rPr>
        <w:t>Para que las intervenciones que se realicen a algún derecho fundamental sean constitucionales, éstas deben superar un test de proporcionalidad en sentido amplio. Lo anterior implica que la medida legislativa debe perseguir una finalidad constitucionalmente válida, además de que debe lograr en algún grado la consecución de su fin, y no debe limitar de manera innecesaria y desproporcionada el derecho fundamental en cuestión. Ahora bien, al realizar este escrutinio, debe comenzarse por identificar los fines que persigue el legislador con la medida, para posteriormente estar en posibilidad de determinar si éstos son válidos constitucionalmente. Esta etapa del análisis presupone la idea de que no cualquier propósito puede justificar la limitación a un derecho fundamental. En efecto, los fines que pueden fundamentar la intervención legislativa al ejercicio de los derechos fundamentales tienen muy diversa naturaleza: valores, intereses, bienes o principios que el Estado legítimamente puede perseguir. En este orden de ideas, los derechos fundamentales, los bienes colectivos y los bienes jurídicos garantizados como principios constitucionales, constituyen fines que legítimamente fundamentan la intervención del legislador en el ejercicio de otros derechos.</w:t>
      </w:r>
    </w:p>
  </w:footnote>
  <w:footnote w:id="86">
    <w:p w14:paraId="3AF580A4"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Camara de Senadores. Versión Estenográfica Sesion Extraordinaria. 28 de junio de 2025. Disponible en el siguiente enlace: </w:t>
      </w:r>
      <w:hyperlink r:id="rId38">
        <w:r w:rsidR="00001DF2" w:rsidRPr="00961DB4">
          <w:rPr>
            <w:rFonts w:ascii="Century Gothic" w:eastAsia="Century Gothic" w:hAnsi="Century Gothic" w:cs="Century Gothic"/>
            <w:color w:val="467886"/>
            <w:sz w:val="18"/>
            <w:szCs w:val="18"/>
            <w:u w:val="single"/>
          </w:rPr>
          <w:t>https://www.senado.gob.mx/66/version_estenografica/2025_6_28/2523</w:t>
        </w:r>
      </w:hyperlink>
      <w:r w:rsidRPr="00961DB4">
        <w:rPr>
          <w:rFonts w:ascii="Century Gothic" w:eastAsia="Century Gothic" w:hAnsi="Century Gothic" w:cs="Century Gothic"/>
          <w:color w:val="000000"/>
          <w:sz w:val="18"/>
          <w:szCs w:val="18"/>
        </w:rPr>
        <w:t xml:space="preserve"> </w:t>
      </w:r>
    </w:p>
    <w:p w14:paraId="7754FA14"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eastAsia="Century Gothic" w:hAnsi="Century Gothic" w:cs="Century Gothic"/>
          <w:color w:val="000000"/>
          <w:sz w:val="18"/>
          <w:szCs w:val="18"/>
        </w:rPr>
        <w:t>(…)</w:t>
      </w:r>
    </w:p>
    <w:p w14:paraId="120ABDB1"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eastAsia="Century Gothic" w:hAnsi="Century Gothic" w:cs="Century Gothic"/>
          <w:color w:val="000000"/>
          <w:sz w:val="18"/>
          <w:szCs w:val="18"/>
        </w:rPr>
        <w:t xml:space="preserve">Senador Waldo Fernández González: </w:t>
      </w:r>
    </w:p>
    <w:p w14:paraId="411BDC7C"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eastAsia="Century Gothic" w:hAnsi="Century Gothic" w:cs="Century Gothic"/>
          <w:color w:val="000000"/>
          <w:sz w:val="18"/>
          <w:szCs w:val="18"/>
        </w:rPr>
        <w:t>(…)</w:t>
      </w:r>
    </w:p>
    <w:p w14:paraId="64E648D4"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i/>
          <w:iCs/>
          <w:color w:val="000000"/>
          <w:sz w:val="18"/>
          <w:szCs w:val="18"/>
        </w:rPr>
      </w:pPr>
      <w:r w:rsidRPr="00961DB4">
        <w:rPr>
          <w:rFonts w:ascii="Century Gothic" w:eastAsia="Century Gothic" w:hAnsi="Century Gothic" w:cs="Century Gothic"/>
          <w:i/>
          <w:iCs/>
          <w:color w:val="000000"/>
          <w:sz w:val="18"/>
          <w:szCs w:val="18"/>
        </w:rPr>
        <w:t>“Hay voces que dicen que identificarse para comprar un chip de un celular es autoritario, pero lo que no te dicen es que México es uno de los países con mayor índice de fraudes y de extorsiones telefónicas y su plantación de identidad, es una herramienta para la seguridad y para la paz social.</w:t>
      </w:r>
    </w:p>
    <w:p w14:paraId="7184C74D"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i/>
          <w:iCs/>
          <w:color w:val="000000"/>
          <w:sz w:val="18"/>
          <w:szCs w:val="18"/>
        </w:rPr>
      </w:pPr>
      <w:r w:rsidRPr="00961DB4">
        <w:rPr>
          <w:rFonts w:ascii="Century Gothic" w:eastAsia="Century Gothic" w:hAnsi="Century Gothic" w:cs="Century Gothic"/>
          <w:i/>
          <w:iCs/>
          <w:color w:val="000000"/>
          <w:sz w:val="18"/>
          <w:szCs w:val="18"/>
        </w:rPr>
        <w:t>Hay voces que dicen que habrá espionaje al facultar a las autoridades para solicitar la ubicación geográfica en tiempo real, pero lo que no te dicen es que quien ha tenido lamentablemente un caso de secuestro, un caso de extorsión, lo que quiere, justamente, es que en tiempo real las herramientas tecnológicas que tiene la Nación sean utilizadas en beneficio de la gente buena, en beneficio de la población”</w:t>
      </w:r>
    </w:p>
  </w:footnote>
  <w:footnote w:id="87">
    <w:p w14:paraId="0DDED075"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CRT. Disponible en el siguiente enlace: </w:t>
      </w:r>
      <w:hyperlink r:id="rId39">
        <w:r w:rsidR="00001DF2" w:rsidRPr="00961DB4">
          <w:rPr>
            <w:rFonts w:ascii="Century Gothic" w:eastAsia="Century Gothic" w:hAnsi="Century Gothic" w:cs="Century Gothic"/>
            <w:color w:val="467886"/>
            <w:sz w:val="18"/>
            <w:szCs w:val="18"/>
            <w:u w:val="single"/>
          </w:rPr>
          <w:t>https://registratulinea.crt.gob.mx/</w:t>
        </w:r>
      </w:hyperlink>
      <w:r w:rsidRPr="00961DB4">
        <w:rPr>
          <w:rFonts w:ascii="Century Gothic" w:eastAsia="Century Gothic" w:hAnsi="Century Gothic" w:cs="Century Gothic"/>
          <w:color w:val="000000"/>
          <w:sz w:val="18"/>
          <w:szCs w:val="18"/>
        </w:rPr>
        <w:t xml:space="preserve"> </w:t>
      </w:r>
    </w:p>
    <w:p w14:paraId="37EFD92B"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i/>
          <w:iCs/>
          <w:color w:val="000000"/>
          <w:sz w:val="18"/>
          <w:szCs w:val="18"/>
        </w:rPr>
      </w:pPr>
      <w:r w:rsidRPr="00961DB4">
        <w:rPr>
          <w:rFonts w:ascii="Century Gothic" w:eastAsia="Century Gothic" w:hAnsi="Century Gothic" w:cs="Century Gothic"/>
          <w:i/>
          <w:iCs/>
          <w:color w:val="000000"/>
          <w:sz w:val="18"/>
          <w:szCs w:val="18"/>
        </w:rPr>
        <w:t>“ ¿Qué es el registro de líneas?</w:t>
      </w:r>
    </w:p>
    <w:p w14:paraId="076B1719"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eastAsia="Century Gothic" w:hAnsi="Century Gothic" w:cs="Century Gothic"/>
          <w:i/>
          <w:iCs/>
          <w:color w:val="000000"/>
          <w:sz w:val="18"/>
          <w:szCs w:val="18"/>
        </w:rPr>
        <w:t>Asociar cada línea a una CURP para identificar y suspender las líneas anónimas que son usadas para delitos como fraude, extorsión o secuestro virtual, vía telefónica”</w:t>
      </w:r>
    </w:p>
  </w:footnote>
  <w:footnote w:id="88">
    <w:p w14:paraId="3261D0B5"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Registro digital: 2013152; Instancia: Primera Sala; Décima Época; Materias(s): Constitucional; Tesis: 1a. CCLXVIII/2016 (10a.); Fuente: Gaceta del Semanario Judicial de la Federación. Libro 36, Noviembre de 2016, Tomo II, página 911; Tipo: Aislada</w:t>
      </w:r>
    </w:p>
    <w:p w14:paraId="6D907330"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b/>
          <w:bCs/>
          <w:color w:val="000000"/>
          <w:sz w:val="18"/>
          <w:szCs w:val="18"/>
        </w:rPr>
      </w:pPr>
      <w:r w:rsidRPr="00961DB4">
        <w:rPr>
          <w:rFonts w:ascii="Century Gothic" w:eastAsia="Century Gothic" w:hAnsi="Century Gothic" w:cs="Century Gothic"/>
          <w:b/>
          <w:bCs/>
          <w:color w:val="000000"/>
          <w:sz w:val="18"/>
          <w:szCs w:val="18"/>
        </w:rPr>
        <w:t>SEGUNDA ETAPA DEL TEST DE PROPORCIONALIDAD. EXAMEN DE LA IDONEIDAD DE LA MEDIDA LEGISLATIVA.</w:t>
      </w:r>
    </w:p>
    <w:p w14:paraId="66101FFB" w14:textId="6B55841D"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eastAsia="Century Gothic" w:hAnsi="Century Gothic" w:cs="Century Gothic"/>
          <w:color w:val="000000"/>
          <w:sz w:val="18"/>
          <w:szCs w:val="18"/>
        </w:rPr>
        <w:t>Para que resulten constitucionales las intervenciones que se realicen a un derecho fundamental, éstas deben superar un test de proporcionalidad en sentido amplio. Lo anterior implica que la medida legislativa debe perseguir una finalidad constitucionalmente válida, lograr en algún grado la consecución de su fin y no limitar de manera innecesaria y desproporcionada el derecho fundamental en cuestión. Por lo que hace a la idoneidad de la medida, en esta etapa del escrutinio debe analizarse si la medida impugnada tiende a alcanzar en algún grado los fines perseguidos por el legislador. En este sentido, el examen de idoneidad presupone la existencia de una relación entre la intervención al derecho y el fin que persigue dicha afectación, siendo suficiente que la medida contribuya en algún modo y en algún grado a lograr el propósito que busca el legislador. Finalmente, vale mencionar que la idoneidad de una medida legislativa podría mostrarse a partir de conocimientos científicos o convicciones sociales generalmente aceptadas.</w:t>
      </w:r>
    </w:p>
  </w:footnote>
  <w:footnote w:id="89">
    <w:p w14:paraId="13A7DED1"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lang w:val="en-US"/>
        </w:rPr>
        <w:t xml:space="preserve"> GSMA. “Mandatory registration of prepaid SIM cards: addressing challenges through best practice” Abril, 2016. pp. 2 y 17. </w:t>
      </w:r>
      <w:r w:rsidRPr="00961DB4">
        <w:rPr>
          <w:rFonts w:ascii="Century Gothic" w:eastAsia="Century Gothic" w:hAnsi="Century Gothic" w:cs="Century Gothic"/>
          <w:color w:val="000000"/>
          <w:sz w:val="18"/>
          <w:szCs w:val="18"/>
        </w:rPr>
        <w:t xml:space="preserve">Disponible en el siguiente enlace: </w:t>
      </w:r>
      <w:hyperlink r:id="rId40">
        <w:r w:rsidR="00001DF2" w:rsidRPr="00961DB4">
          <w:rPr>
            <w:rFonts w:ascii="Century Gothic" w:eastAsia="Century Gothic" w:hAnsi="Century Gothic" w:cs="Century Gothic"/>
            <w:color w:val="467886"/>
            <w:sz w:val="18"/>
            <w:szCs w:val="18"/>
            <w:u w:val="single"/>
          </w:rPr>
          <w:t>https://www.gsma.com/solutions-and-impact/connectivity-for-good/public-policy/wp-content/uploads/2016/04/GSMA2016_Report_MandatoryRegistrationOfPrepaidSIMCards.pdf</w:t>
        </w:r>
      </w:hyperlink>
      <w:r w:rsidRPr="00961DB4">
        <w:rPr>
          <w:rFonts w:ascii="Century Gothic" w:eastAsia="Century Gothic" w:hAnsi="Century Gothic" w:cs="Century Gothic"/>
          <w:color w:val="000000"/>
          <w:sz w:val="18"/>
          <w:szCs w:val="18"/>
        </w:rPr>
        <w:t xml:space="preserve"> </w:t>
      </w:r>
    </w:p>
  </w:footnote>
  <w:footnote w:id="90">
    <w:p w14:paraId="2A1BAA5B"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UIF – SHCP - ABM. Comunicado No. 44. </w:t>
      </w:r>
      <w:r w:rsidRPr="00961DB4">
        <w:rPr>
          <w:rFonts w:ascii="Century Gothic" w:eastAsia="Century Gothic" w:hAnsi="Century Gothic" w:cs="Century Gothic"/>
          <w:i/>
          <w:iCs/>
          <w:color w:val="000000"/>
          <w:sz w:val="18"/>
          <w:szCs w:val="18"/>
        </w:rPr>
        <w:t>La UIF emite Guía para el monitoreo de operaciones relacionadas con extorsión en el sector financiero</w:t>
      </w:r>
      <w:r w:rsidRPr="00961DB4">
        <w:rPr>
          <w:rFonts w:ascii="Century Gothic" w:eastAsia="Century Gothic" w:hAnsi="Century Gothic" w:cs="Century Gothic"/>
          <w:color w:val="000000"/>
          <w:sz w:val="18"/>
          <w:szCs w:val="18"/>
        </w:rPr>
        <w:t xml:space="preserve">. 25 de mayo de 2026. Disponible en el siguiente enlace: </w:t>
      </w:r>
      <w:hyperlink r:id="rId41">
        <w:r w:rsidR="00001DF2" w:rsidRPr="00961DB4">
          <w:rPr>
            <w:rFonts w:ascii="Century Gothic" w:eastAsia="Century Gothic" w:hAnsi="Century Gothic" w:cs="Century Gothic"/>
            <w:color w:val="467886"/>
            <w:sz w:val="18"/>
            <w:szCs w:val="18"/>
            <w:u w:val="single"/>
          </w:rPr>
          <w:t>https://www.gob.mx/shcp/prensa/comunicado-no-44-426754?idiom=es</w:t>
        </w:r>
      </w:hyperlink>
      <w:r w:rsidRPr="00961DB4">
        <w:rPr>
          <w:rFonts w:ascii="Century Gothic" w:eastAsia="Century Gothic" w:hAnsi="Century Gothic" w:cs="Century Gothic"/>
          <w:color w:val="000000"/>
          <w:sz w:val="18"/>
          <w:szCs w:val="18"/>
        </w:rPr>
        <w:t xml:space="preserve"> </w:t>
      </w:r>
    </w:p>
    <w:p w14:paraId="026321E8"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i/>
          <w:iCs/>
          <w:color w:val="000000"/>
          <w:sz w:val="18"/>
          <w:szCs w:val="18"/>
        </w:rPr>
      </w:pPr>
      <w:r w:rsidRPr="00961DB4">
        <w:rPr>
          <w:rFonts w:ascii="Century Gothic" w:eastAsia="Century Gothic" w:hAnsi="Century Gothic" w:cs="Century Gothic"/>
          <w:i/>
          <w:iCs/>
          <w:color w:val="000000"/>
          <w:sz w:val="18"/>
          <w:szCs w:val="18"/>
        </w:rPr>
        <w:t>“El documento se sustenta en análisis estratégicos realizados por la UIF, mediante los cuales se identificaron patrones transaccionales asociados con esquemas de extorsión operados desde el interior de Centros Penitenciarios. Entre los hallazgos, destaca la recepción de transferencias electrónicas con conceptos recurrentes y la movilización acelerada de recursos a través de aplicaciones móviles, las cuales concentraron alrededor del 70% de las operaciones observadas en el caso analizado.”</w:t>
      </w:r>
    </w:p>
  </w:footnote>
  <w:footnote w:id="91">
    <w:p w14:paraId="30186147"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Artículo 183. Los concesionarios de telecomunicaciones y, en su caso, los autorizados que determine la Comisión, deberán: </w:t>
      </w:r>
    </w:p>
    <w:p w14:paraId="3258A9C7"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eastAsia="Century Gothic" w:hAnsi="Century Gothic" w:cs="Century Gothic"/>
          <w:color w:val="000000"/>
          <w:sz w:val="18"/>
          <w:szCs w:val="18"/>
        </w:rPr>
        <w:t>(…)</w:t>
      </w:r>
    </w:p>
    <w:p w14:paraId="0E75FEA1"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eastAsia="Century Gothic" w:hAnsi="Century Gothic" w:cs="Century Gothic"/>
          <w:color w:val="000000"/>
          <w:sz w:val="18"/>
          <w:szCs w:val="18"/>
        </w:rPr>
        <w:t xml:space="preserve">VIII. Realizar la cancelación o anulación permanente de las señales de radiocomunicación o de transmisión de datos o imagen dentro del perímetro de centros de readaptación social, establecimientos penitenciarios o centros de internamiento para menores, federales o de las entidades federativas, cualquiera que sea su denominación. </w:t>
      </w:r>
    </w:p>
    <w:p w14:paraId="5FB616F7"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eastAsia="Century Gothic" w:hAnsi="Century Gothic" w:cs="Century Gothic"/>
          <w:color w:val="000000"/>
          <w:sz w:val="18"/>
          <w:szCs w:val="18"/>
        </w:rPr>
        <w:t xml:space="preserve">El bloqueo de señales a que se refiere el párrafo anterior se hará sobre todas las bandas de frecuencia que se utilicen para la recepción en los equipos terminales de comunicación y bajo las disposiciones que expida la Comisión. </w:t>
      </w:r>
    </w:p>
    <w:p w14:paraId="679BEF93"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eastAsia="Century Gothic" w:hAnsi="Century Gothic" w:cs="Century Gothic"/>
          <w:color w:val="000000"/>
          <w:sz w:val="18"/>
          <w:szCs w:val="18"/>
        </w:rPr>
        <w:t>Los concesionarios o autorizados deberán considerar los elementos técnicos de reemplazo, mantenimiento y servicio. Los concesionarios de telecomunicaciones y, en su caso, los autorizados que determine la Comisión, están obligados a colaborar con el Sistema Nacional de Seguridad Pública en el monitoreo de la funcionalidad u operatividad de los equipos utilizados para el bloqueo permanente de las señales de telefonía celular, de radiocomunicación o de transmisión de datos o imagen;</w:t>
      </w:r>
    </w:p>
  </w:footnote>
  <w:footnote w:id="92">
    <w:p w14:paraId="6442BF2E"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VILLA Y CAÑA, Pedro y et al. </w:t>
      </w:r>
      <w:r w:rsidRPr="00961DB4">
        <w:rPr>
          <w:rFonts w:ascii="Century Gothic" w:eastAsia="Century Gothic" w:hAnsi="Century Gothic" w:cs="Century Gothic"/>
          <w:i/>
          <w:iCs/>
          <w:color w:val="000000"/>
          <w:sz w:val="18"/>
          <w:szCs w:val="18"/>
        </w:rPr>
        <w:t>Imparable, mercado negro de chips; ven fracaso en el registro de celulares</w:t>
      </w:r>
      <w:r w:rsidRPr="00961DB4">
        <w:rPr>
          <w:rFonts w:ascii="Century Gothic" w:eastAsia="Century Gothic" w:hAnsi="Century Gothic" w:cs="Century Gothic"/>
          <w:color w:val="000000"/>
          <w:sz w:val="18"/>
          <w:szCs w:val="18"/>
        </w:rPr>
        <w:t xml:space="preserve">. El Universal. 07 de junio de 2026. Disponible en el siguiente enlace: </w:t>
      </w:r>
      <w:hyperlink r:id="rId42">
        <w:r w:rsidR="00001DF2" w:rsidRPr="00961DB4">
          <w:rPr>
            <w:rFonts w:ascii="Century Gothic" w:eastAsia="Century Gothic" w:hAnsi="Century Gothic" w:cs="Century Gothic"/>
            <w:color w:val="467886"/>
            <w:sz w:val="18"/>
            <w:szCs w:val="18"/>
            <w:u w:val="single"/>
          </w:rPr>
          <w:t>https://www.eluniversal.com.mx/nacion/imparable-mercado-negro-de-chips-ven-fracaso-en-el-registro-de-celulares/</w:t>
        </w:r>
      </w:hyperlink>
      <w:r w:rsidRPr="00961DB4">
        <w:rPr>
          <w:rFonts w:ascii="Century Gothic" w:eastAsia="Century Gothic" w:hAnsi="Century Gothic" w:cs="Century Gothic"/>
          <w:color w:val="000000"/>
          <w:sz w:val="18"/>
          <w:szCs w:val="18"/>
        </w:rPr>
        <w:t xml:space="preserve"> </w:t>
      </w:r>
    </w:p>
  </w:footnote>
  <w:footnote w:id="93">
    <w:p w14:paraId="6FAD2D50"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CRT. Plataformas de consulta de las compañías telefónicas. Disponible en el siguiente enlace: </w:t>
      </w:r>
      <w:hyperlink r:id="rId43">
        <w:r w:rsidR="00001DF2" w:rsidRPr="00961DB4">
          <w:rPr>
            <w:rFonts w:ascii="Century Gothic" w:eastAsia="Century Gothic" w:hAnsi="Century Gothic" w:cs="Century Gothic"/>
            <w:color w:val="467886"/>
            <w:sz w:val="18"/>
            <w:szCs w:val="18"/>
            <w:u w:val="single"/>
          </w:rPr>
          <w:t>https://portal.crt.gob.mx/plataformas-de-consulta-de-las-companias-telefonicas</w:t>
        </w:r>
      </w:hyperlink>
      <w:r w:rsidRPr="00961DB4">
        <w:rPr>
          <w:rFonts w:ascii="Century Gothic" w:eastAsia="Century Gothic" w:hAnsi="Century Gothic" w:cs="Century Gothic"/>
          <w:color w:val="000000"/>
          <w:sz w:val="18"/>
          <w:szCs w:val="18"/>
        </w:rPr>
        <w:t xml:space="preserve"> </w:t>
      </w:r>
    </w:p>
  </w:footnote>
  <w:footnote w:id="94">
    <w:p w14:paraId="61B03B97"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NOVENO. Una vez concluido el evento deportivo internacional denominado Copa Mundial de la Federación Internacional de Fútbol Asociación 2026, la Comisión Reguladora de Telecomunicaciones definirá los mecanismos necesarios para la Vinculación de las Líneas Telefónicas Móviles que utilicen servicios de Roaming Internacional en el territorio nacional.</w:t>
      </w:r>
    </w:p>
  </w:footnote>
  <w:footnote w:id="95">
    <w:p w14:paraId="40EAEE7D"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FCC. “Fraude con Teléfonos Celulares”. 23 de abril de 2020. Disponible en el siguiente enlace: https://www.fcc.gov/consumers/guides/fraude-con-telefonos-celulares</w:t>
      </w:r>
    </w:p>
  </w:footnote>
  <w:footnote w:id="96">
    <w:p w14:paraId="0FCC1B10"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Portaltic/EP. “Fraudes, espionaje y chantaje a famosos; las 3 amenazas “deepfake” más peligrosas”. Proceso. 5 de junio de 2023. Disponible en el siguiente enlace: </w:t>
      </w:r>
      <w:hyperlink r:id="rId44">
        <w:r w:rsidR="00001DF2" w:rsidRPr="00961DB4">
          <w:rPr>
            <w:rFonts w:ascii="Century Gothic" w:eastAsia="Century Gothic" w:hAnsi="Century Gothic" w:cs="Century Gothic"/>
            <w:color w:val="467886"/>
            <w:sz w:val="18"/>
            <w:szCs w:val="18"/>
            <w:u w:val="single"/>
          </w:rPr>
          <w:t>https://www.proceso.com.mx/ciencia-tecnologia/2023/6/5/fraudes-espionaje-chantaje-famosos-las-amenazas-deepfake-mas-peligrosas-307429.html</w:t>
        </w:r>
      </w:hyperlink>
      <w:r w:rsidRPr="00961DB4">
        <w:rPr>
          <w:rFonts w:ascii="Century Gothic" w:eastAsia="Century Gothic" w:hAnsi="Century Gothic" w:cs="Century Gothic"/>
          <w:color w:val="000000"/>
          <w:sz w:val="18"/>
          <w:szCs w:val="18"/>
        </w:rPr>
        <w:t xml:space="preserve"> </w:t>
      </w:r>
    </w:p>
  </w:footnote>
  <w:footnote w:id="97">
    <w:p w14:paraId="2436ECA3"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Ver: “Yúbal Fernández. “VOIP: ¿Qué es y cómo funciona? “ Xataka. 12 de octubre de 2019. Consulta en: </w:t>
      </w:r>
      <w:hyperlink r:id="rId45">
        <w:r w:rsidR="00001DF2" w:rsidRPr="00961DB4">
          <w:rPr>
            <w:rFonts w:ascii="Century Gothic" w:eastAsia="Century Gothic" w:hAnsi="Century Gothic" w:cs="Century Gothic"/>
            <w:color w:val="467886"/>
            <w:sz w:val="18"/>
            <w:szCs w:val="18"/>
            <w:u w:val="single"/>
          </w:rPr>
          <w:t>https://www.xataka.com/basics/voip-que-como-funciona</w:t>
        </w:r>
      </w:hyperlink>
    </w:p>
  </w:footnote>
  <w:footnote w:id="98">
    <w:p w14:paraId="6A20E90D"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Registro digital: 2013154; Instancia: Primera Sala; Décima Época; Materias(s): Constitucional; Tesis: 1a. CCLXX/2016 (10a.); Fuente: Gaceta del Semanario Judicial de la Federación. Libro 36, Noviembre de 2016, Tomo II, página 914; Tipo: Aislada</w:t>
      </w:r>
    </w:p>
    <w:p w14:paraId="0B998EA3"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b/>
          <w:bCs/>
          <w:color w:val="000000"/>
          <w:sz w:val="18"/>
          <w:szCs w:val="18"/>
        </w:rPr>
      </w:pPr>
      <w:r w:rsidRPr="00961DB4">
        <w:rPr>
          <w:rFonts w:ascii="Century Gothic" w:eastAsia="Century Gothic" w:hAnsi="Century Gothic" w:cs="Century Gothic"/>
          <w:b/>
          <w:bCs/>
          <w:color w:val="000000"/>
          <w:sz w:val="18"/>
          <w:szCs w:val="18"/>
        </w:rPr>
        <w:t>TERCERA ETAPA DEL TEST DE PROPORCIONALIDAD. EXAMEN DE LA NECESIDAD DE LA MEDIDA LEGISLATIVA.</w:t>
      </w:r>
    </w:p>
    <w:p w14:paraId="1D01C0CF"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eastAsia="Century Gothic" w:hAnsi="Century Gothic" w:cs="Century Gothic"/>
          <w:color w:val="000000"/>
          <w:sz w:val="18"/>
          <w:szCs w:val="18"/>
        </w:rPr>
        <w:t>Para que resulten constitucionales las intervenciones que se realicen a algún derecho fundamental, éstas deben superar un test de proporcionalidad en sentido amplio. Lo anterior implica que la medida legislativa debe perseguir una finalidad constitucionalmente válida, lograr en algún grado la consecución de su fin y no limitar de manera innecesaria y desproporcionada el derecho fundamental en cuestión. Así, una vez que se ha constatado un fin válido constitucionalmente y la idoneidad de la ley, corresponde analizar si la misma es necesaria o si, por el contrario, existen medidas alternativas que también sean idóneas pero que afecten en menor grado el derecho fundamental. De esta manera, el examen de necesidad implica corroborar, en primer lugar, si existen otros medios igualmente idóneos para lograr los fines que se persiguen y, en segundo lugar, determinar si estas alternativas intervienen con menor intensidad el derecho fundamental afectado. Lo anterior supone hacer un catálogo de medidas alternativas y determinar el grado de idoneidad de éstas, es decir, evaluar su nivel de eficacia, rapidez, probabilidad o afectación material de su objeto. De esta manera, la búsqueda de medios alternativos podría ser interminable y requerir al juez constitucional imaginarse y analizar todas las alternativas posibles. No obstante, dicho escrutinio puede acotarse ponderando aquellas medidas que el legislador consideró adecuadas para situaciones similares, o bien las alternativas que en el derecho comparado se han diseñado para regular el mismo fenómeno. Así, de encontrarse alguna medida alternativa que sea igualmente idónea para proteger el fin constitucional y que a su vez intervenga con menor intensidad al derecho, deberá concluirse que la medida elegida por el legislador es inconstitucional. En caso contrario, deberá pasarse a la cuarta y última etapa del escrutinio: la proporcionalidad en sentido estricto.</w:t>
      </w:r>
    </w:p>
  </w:footnote>
  <w:footnote w:id="99">
    <w:p w14:paraId="674E8483"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Registro digital: 31068; Asunto: ACCIÓN DE INCONSTITUCIONALIDAD 82/2021 Y SU ACUMULADA 86/2021.</w:t>
      </w:r>
    </w:p>
    <w:p w14:paraId="4A3E8216"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eastAsia="Century Gothic" w:hAnsi="Century Gothic" w:cs="Century Gothic"/>
          <w:color w:val="000000"/>
          <w:sz w:val="18"/>
          <w:szCs w:val="18"/>
        </w:rPr>
        <w:t>(…)</w:t>
      </w:r>
    </w:p>
    <w:p w14:paraId="5B11606E"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eastAsia="Century Gothic" w:hAnsi="Century Gothic" w:cs="Century Gothic"/>
          <w:color w:val="000000"/>
          <w:sz w:val="18"/>
          <w:szCs w:val="18"/>
        </w:rPr>
        <w:t>386. No obstante, como se explicó anteriormente, estos mecanismos son menos restrictivos de los derechos a la privacidad y protección de datos personales. Primeramente, porque el acceso a la información que derivan de estas herramientas alternativas está condicionado a la existencia de una autorización judicial, lo que de entrada permite una mayor protección de los derechos en juego, pues se garantiza de una mejor manera que estas intervenciones en los derechos fundamentales no se realicen de manera arbitraria e indiscriminada, sino, por el contrario, se encuentren debidamente justificadas y sean resultado de un uso razonable de las facultades investigadoras de la autoridad.</w:t>
      </w:r>
    </w:p>
    <w:p w14:paraId="44AD3F04"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eastAsia="Century Gothic" w:hAnsi="Century Gothic" w:cs="Century Gothic"/>
          <w:color w:val="000000"/>
          <w:sz w:val="18"/>
          <w:szCs w:val="18"/>
        </w:rPr>
        <w:t>387. Pero, además, el uso e implementación de estas medidas no entraña el acceso generalizado del Estado a la información privada, personal y sensible de todos los usuarios de telefonía móvil, lo que en sí mismo genera un grave riesgo en la efectiva protección de estos derechos humanos. Por el contrario, reconociendo que la información que se compromete es por naturaleza sumamente delicada, se busca garantizar que el objeto de la intervención esté perfectamente delimitado y sea concreto en cuanto a las personas, equipos, tiempos y motivos. Así, la forma en la que se configuran estas medidas busca evitar la existencia de pesquisas generalizadas o peor aún, de sistemas de vigilancia generalizados.</w:t>
      </w:r>
    </w:p>
    <w:p w14:paraId="45575B3D"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eastAsia="Century Gothic" w:hAnsi="Century Gothic" w:cs="Century Gothic"/>
          <w:color w:val="000000"/>
          <w:sz w:val="18"/>
          <w:szCs w:val="18"/>
        </w:rPr>
        <w:t>388. Finalmente, todos estos mecanismos alternativos generan una afectación temporal a los derechos humanos en juego, pues la intromisión que generan en los derechos fundamentales está sujeta a condiciones de tipo temporal, a diferencia de la regulación del PANAUT, la cual no establece por cuanto tiempo el Estado podrá conservar la información privada y los datos personales de los usuarios.</w:t>
      </w:r>
    </w:p>
    <w:p w14:paraId="69CA3072"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eastAsia="Century Gothic" w:hAnsi="Century Gothic" w:cs="Century Gothic"/>
          <w:color w:val="000000"/>
          <w:sz w:val="18"/>
          <w:szCs w:val="18"/>
        </w:rPr>
        <w:t>389. En consecuencia, para este Tribunal Pleno es claro que el ordenamiento jurídico mexicano ya preveía una serie de medidas y mecanismos que resultan igualmente idóneos para colaborar con las autoridades de justicia en relación con la comisión de delitos, especialmente de los cometidos mediante telefonía celular, pero que resultan menos restrictivas de los derechos a la privacidad y protección de datos personales, en comparación con el PANAUT.</w:t>
      </w:r>
    </w:p>
    <w:p w14:paraId="0CB17549" w14:textId="77777777" w:rsidR="00001DF2" w:rsidRPr="00961DB4" w:rsidRDefault="00001DF2"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p>
    <w:p w14:paraId="0EED2C44"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eastAsia="Century Gothic" w:hAnsi="Century Gothic" w:cs="Century Gothic"/>
          <w:color w:val="000000"/>
          <w:sz w:val="18"/>
          <w:szCs w:val="18"/>
        </w:rPr>
        <w:t>390. En ese sentido y a fin de hacer aún más clara esta conclusión, cabe preguntarse: ¿realmente resultaba necesario para combatir la delincuencia el recopilar de forma generalizada, conservar por tiempo indefinido y entregar al Estado la información privada y los datos personales de todos los titulares, personas físicas y morales, de una línea de telefonía móvil? ¿Realmente era necesaria esta medida tomando en cuenta que ya existen otras herramientas tecnológicas que proporcionan a las autoridades de seguridad y procuración de justicia información igual de valiosa y útil para la investigación, persecución y sanción de los delitos que se cometan a través del uso de un celular?</w:t>
      </w:r>
    </w:p>
    <w:p w14:paraId="17CD9040"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eastAsia="Century Gothic" w:hAnsi="Century Gothic" w:cs="Century Gothic"/>
          <w:color w:val="000000"/>
          <w:sz w:val="18"/>
          <w:szCs w:val="18"/>
        </w:rPr>
        <w:t>391. Para este Tribunal Pleno la respuesta es clara, el PANAUT no resulta una medida legislativa necesaria para una sociedad democrática, pues no mantiene un equilibrio entre la necesidad de los datos en circunstancias limitadas y el debido respeto al derecho de privacidad de las personas, además de no encontrar justificación, pues la Ley Federal de Telecomunicaciones y el Código Nacional de Procedimientos Penales ya prevén una serie de mecanismos igualmente idóneos para colaborar con las autoridades de justicia en relación con la comisión de delitos, especialmente de los cometidos mediante telefonía celular, pero que resultan menos restrictivas de los derechos a la privacidad y protección de datos personales.</w:t>
      </w:r>
    </w:p>
    <w:p w14:paraId="2923E15F"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eastAsia="Century Gothic" w:hAnsi="Century Gothic" w:cs="Century Gothic"/>
          <w:color w:val="000000"/>
          <w:sz w:val="18"/>
          <w:szCs w:val="18"/>
        </w:rPr>
        <w:t>392. De ahí que deba concluirse que el Decreto impugnado no supera esta tercera grada del test de proporcionalidad al no ser una medida necesaria para una sociedad democrática.</w:t>
      </w:r>
    </w:p>
    <w:p w14:paraId="6089D359" w14:textId="77777777" w:rsidR="00001DF2" w:rsidRPr="00961DB4" w:rsidRDefault="00001DF2"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p>
  </w:footnote>
  <w:footnote w:id="100">
    <w:p w14:paraId="227DF55F"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CRT. Bol 013/2026. Reporta CRT 144.5 millones de líneas celulares activas en México. 23 de abril de 2026. Disponible en el siguiente enlace: </w:t>
      </w:r>
      <w:hyperlink r:id="rId46">
        <w:r w:rsidR="00001DF2" w:rsidRPr="00961DB4">
          <w:rPr>
            <w:rFonts w:ascii="Century Gothic" w:eastAsia="Century Gothic" w:hAnsi="Century Gothic" w:cs="Century Gothic"/>
            <w:color w:val="467886"/>
            <w:sz w:val="18"/>
            <w:szCs w:val="18"/>
            <w:u w:val="single"/>
          </w:rPr>
          <w:t>https://www.gob.mx/crt/prensa/reporta-crt-144-5-millones-de-lineas-celulares-activas-en-mexico?idiom=es</w:t>
        </w:r>
      </w:hyperlink>
    </w:p>
  </w:footnote>
  <w:footnote w:id="101">
    <w:p w14:paraId="553AF089"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MELLADO RODRIGUEZ, Pedro. “Puntos y comas. Una década y la impunidad en México se mantiene por arriba del 90%”. Sin embargo. 27 de octubre de 2025. Disponible en el siguiente enlace: </w:t>
      </w:r>
      <w:hyperlink r:id="rId47">
        <w:r w:rsidR="00001DF2" w:rsidRPr="00961DB4">
          <w:rPr>
            <w:rFonts w:ascii="Century Gothic" w:eastAsia="Century Gothic" w:hAnsi="Century Gothic" w:cs="Century Gothic"/>
            <w:color w:val="467886"/>
            <w:sz w:val="18"/>
            <w:szCs w:val="18"/>
            <w:u w:val="single"/>
          </w:rPr>
          <w:t>https://www.sinembargo.mx/4718764/puntosycomas-una-decada-y-la-impunidad-en-mexico-se-mantiene-por-arriba-del-90/</w:t>
        </w:r>
      </w:hyperlink>
      <w:r w:rsidRPr="00961DB4">
        <w:rPr>
          <w:rFonts w:ascii="Century Gothic" w:eastAsia="Century Gothic" w:hAnsi="Century Gothic" w:cs="Century Gothic"/>
          <w:color w:val="000000"/>
          <w:sz w:val="18"/>
          <w:szCs w:val="18"/>
        </w:rPr>
        <w:t xml:space="preserve"> </w:t>
      </w:r>
    </w:p>
  </w:footnote>
  <w:footnote w:id="102">
    <w:p w14:paraId="512AAC5B"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Registro digital: 2013136; Instancia: Primera Sala; Décima Época; Materias(s): Constitucional; Tesis: 1a. CCLXXII/2016 (10a.); Fuente: Gaceta del Semanario Judicial de la Federación. Libro 36, Noviembre de 2016, Tomo II, página 894; Tipo: Aislada</w:t>
      </w:r>
    </w:p>
    <w:p w14:paraId="6D23112C"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b/>
          <w:bCs/>
          <w:color w:val="000000"/>
          <w:sz w:val="18"/>
          <w:szCs w:val="18"/>
        </w:rPr>
      </w:pPr>
      <w:r w:rsidRPr="00961DB4">
        <w:rPr>
          <w:rFonts w:ascii="Century Gothic" w:eastAsia="Century Gothic" w:hAnsi="Century Gothic" w:cs="Century Gothic"/>
          <w:b/>
          <w:bCs/>
          <w:color w:val="000000"/>
          <w:sz w:val="18"/>
          <w:szCs w:val="18"/>
        </w:rPr>
        <w:t>CUARTA ETAPA DEL TEST DE PROPORCIONALIDAD. EXAMEN DE LA PROPORCIONALIDAD EN SENTIDO ESTRICTO DE LA MEDIDA LEGISLATIVA.</w:t>
      </w:r>
    </w:p>
    <w:p w14:paraId="7556B752"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eastAsia="Century Gothic" w:hAnsi="Century Gothic" w:cs="Century Gothic"/>
          <w:color w:val="000000"/>
          <w:sz w:val="18"/>
          <w:szCs w:val="18"/>
        </w:rPr>
        <w:t>Para que resulten constitucionales las intervenciones que se realicen a algún derecho fundamental, éstas deben superar un test de proporcionalidad en sentido amplio. Lo anterior implica que la medida legislativa debe perseguir una finalidad constitucionalmente válida, lograr en algún grado la consecución de su fin y no limitar de manera innecesaria y desproporcionada el derecho fundamental en cuestión. Así, una vez que se han llevado a cabo las primeras tres gradas del escrutinio, corresponde realizar finalmente un examen de proporcionalidad en sentido estricto. Esta grada del test consiste en efectuar un balance o ponderación entre dos principios que compiten en un caso concreto. Dicho análisis requiere comparar el grado de intervención en el derecho fundamental que supone la medida legislativa examinada, frente al grado de realización del fin perseguido por ésta. En otras palabras, en esta fase del escrutinio es preciso realizar una ponderación entre los beneficios que cabe esperar de una limitación desde la perspectiva de los fines que se persiguen, frente a los costos que necesariamente se producirán desde la perspectiva de los derechos fundamentales afectados. De este modo, la medida impugnada sólo será constitucional si el nivel de realización del fin constitucional que persigue el legislador es mayor al nivel de intervención en el derecho fundamental. En caso contrario, la medida será desproporcionada y, como consecuencia, inconstitucional. En este contexto, resulta evidente que una intervención en un derecho que prohíba totalmente la realización de la conducta amparada por ese derecho, será más intensa que una intervención que se concrete a prohibir o a regular en ciertas condiciones el ejercicio de tal derecho. Así, cabe destacar que desde un análisis de proporcionalidad en estricto sentido, sólo estaría justificado que se limitara severamente el contenido prima facie de un derecho fundamental si también fueran muy graves los daños asociados a su ejercicio.</w:t>
      </w:r>
    </w:p>
  </w:footnote>
  <w:footnote w:id="103">
    <w:p w14:paraId="1AC3CC30"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lang w:val="en-US"/>
        </w:rPr>
        <w:t xml:space="preserve"> TJUE. Tele2 Sverige AB v Post- och telestyrelsen and Secretary of State for the Home Department v. Watson. </w:t>
      </w:r>
      <w:r w:rsidRPr="00961DB4">
        <w:rPr>
          <w:rFonts w:ascii="Century Gothic" w:eastAsia="Century Gothic" w:hAnsi="Century Gothic" w:cs="Century Gothic"/>
          <w:color w:val="000000"/>
          <w:sz w:val="18"/>
          <w:szCs w:val="18"/>
        </w:rPr>
        <w:t>Op. Cit.</w:t>
      </w:r>
    </w:p>
  </w:footnote>
  <w:footnote w:id="104">
    <w:p w14:paraId="647D099A"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NARES, Obed. Telcel filtra datos personales de usuarios en México: el registro de líneas celulares falla en sus primeros días. 12 de enero de 2026. Xataka. Disponible en el siguiente enlace: </w:t>
      </w:r>
      <w:hyperlink r:id="rId48">
        <w:r w:rsidR="00001DF2" w:rsidRPr="00961DB4">
          <w:rPr>
            <w:rFonts w:ascii="Century Gothic" w:eastAsia="Century Gothic" w:hAnsi="Century Gothic" w:cs="Century Gothic"/>
            <w:color w:val="467886"/>
            <w:sz w:val="18"/>
            <w:szCs w:val="18"/>
            <w:u w:val="single"/>
          </w:rPr>
          <w:t>https://www.xataka.com.mx/telecomunicaciones/telcel-filtra-datos-personales-usuarios-mexico-registro-lineas-celulares-falla-sus-primeros-dias</w:t>
        </w:r>
      </w:hyperlink>
      <w:r w:rsidRPr="00961DB4">
        <w:rPr>
          <w:rFonts w:ascii="Century Gothic" w:eastAsia="Century Gothic" w:hAnsi="Century Gothic" w:cs="Century Gothic"/>
          <w:color w:val="000000"/>
          <w:sz w:val="18"/>
          <w:szCs w:val="18"/>
        </w:rPr>
        <w:t xml:space="preserve"> </w:t>
      </w:r>
    </w:p>
  </w:footnote>
  <w:footnote w:id="105">
    <w:p w14:paraId="2BE653AE" w14:textId="77777777" w:rsidR="00001DF2" w:rsidRPr="00961DB4" w:rsidRDefault="00000000" w:rsidP="00961DB4">
      <w:pPr>
        <w:pBdr>
          <w:top w:val="nil"/>
          <w:left w:val="nil"/>
          <w:bottom w:val="nil"/>
          <w:right w:val="nil"/>
          <w:between w:val="nil"/>
        </w:pBdr>
        <w:spacing w:after="80" w:line="240" w:lineRule="auto"/>
        <w:ind w:left="708" w:hanging="708"/>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CRT. Bol 013/2026. Op. Cit.</w:t>
      </w:r>
    </w:p>
  </w:footnote>
  <w:footnote w:id="106">
    <w:p w14:paraId="3E2501EB"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Consejo de Derechos Humanos. “El derecho a la privacidad en la era digital”. Informe del Alto Comisionado de las Naciones Unidas para los Derechos Humanos. A/HRC/39/29. 3 de agosto de 2018 </w:t>
      </w:r>
      <w:hyperlink r:id="rId49">
        <w:r w:rsidR="00001DF2" w:rsidRPr="00961DB4">
          <w:rPr>
            <w:rFonts w:ascii="Century Gothic" w:eastAsia="Century Gothic" w:hAnsi="Century Gothic" w:cs="Century Gothic"/>
            <w:color w:val="467886"/>
            <w:sz w:val="18"/>
            <w:szCs w:val="18"/>
            <w:u w:val="single"/>
          </w:rPr>
          <w:t>https://undocs.org/es/A/HRC/39/29</w:t>
        </w:r>
      </w:hyperlink>
      <w:r w:rsidRPr="00961DB4">
        <w:rPr>
          <w:rFonts w:ascii="Century Gothic" w:eastAsia="Century Gothic" w:hAnsi="Century Gothic" w:cs="Century Gothic"/>
          <w:color w:val="000000"/>
          <w:sz w:val="18"/>
          <w:szCs w:val="18"/>
        </w:rPr>
        <w:t xml:space="preserve"> </w:t>
      </w:r>
    </w:p>
  </w:footnote>
  <w:footnote w:id="107">
    <w:p w14:paraId="2CC767B1"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VOTO CONCURRENTE QUE FORMULA EL MINISTRO PRESIDENTE ARTURO ZALDÍVAR LELO DE LARREA EN LA ACCIÓN DE INCONSTITUCIONALIDAD 82/2021 Y SU ACUMULADA 86/2021, PROMOVIDAS POR EL INSTITUTO NACIONAL DE TRANSPARENCIA, ACCESO A LA INFORMACIÓN Y PROTECCIÓN DE DATOS PERSONALES Y DIVERSOS SENADORES INTEGRANTES DE LA LXIV LEGISLATURA. Disponible en el siguiente enlace: </w:t>
      </w:r>
      <w:hyperlink r:id="rId50">
        <w:r w:rsidR="00001DF2" w:rsidRPr="00961DB4">
          <w:rPr>
            <w:rFonts w:ascii="Century Gothic" w:eastAsia="Century Gothic" w:hAnsi="Century Gothic" w:cs="Century Gothic"/>
            <w:color w:val="467886"/>
            <w:sz w:val="18"/>
            <w:szCs w:val="18"/>
            <w:u w:val="single"/>
          </w:rPr>
          <w:t>https://sjf2.scjn.gob.mx/detalle/voto/45061</w:t>
        </w:r>
      </w:hyperlink>
      <w:r w:rsidRPr="00961DB4">
        <w:rPr>
          <w:rFonts w:ascii="Century Gothic" w:eastAsia="Century Gothic" w:hAnsi="Century Gothic" w:cs="Century Gothic"/>
          <w:color w:val="000000"/>
          <w:sz w:val="18"/>
          <w:szCs w:val="18"/>
        </w:rPr>
        <w:t xml:space="preserve"> </w:t>
      </w:r>
    </w:p>
    <w:p w14:paraId="78E1CA8A"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i/>
          <w:iCs/>
          <w:color w:val="000000"/>
          <w:sz w:val="18"/>
          <w:szCs w:val="18"/>
        </w:rPr>
      </w:pPr>
      <w:r w:rsidRPr="00961DB4">
        <w:rPr>
          <w:rFonts w:ascii="Century Gothic" w:eastAsia="Century Gothic" w:hAnsi="Century Gothic" w:cs="Century Gothic"/>
          <w:i/>
          <w:iCs/>
          <w:color w:val="000000"/>
          <w:sz w:val="18"/>
          <w:szCs w:val="18"/>
        </w:rPr>
        <w:t>(…)</w:t>
      </w:r>
    </w:p>
    <w:p w14:paraId="0923F6CA"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i/>
          <w:iCs/>
          <w:color w:val="000000"/>
          <w:sz w:val="18"/>
          <w:szCs w:val="18"/>
        </w:rPr>
      </w:pPr>
      <w:r w:rsidRPr="00961DB4">
        <w:rPr>
          <w:rFonts w:ascii="Century Gothic" w:eastAsia="Century Gothic" w:hAnsi="Century Gothic" w:cs="Century Gothic"/>
          <w:i/>
          <w:iCs/>
          <w:color w:val="000000"/>
          <w:sz w:val="18"/>
          <w:szCs w:val="18"/>
        </w:rPr>
        <w:t>En ese sentido, me parece significativo hacer notar que su empleo incide en el derecho a la privacidad y la protección de los datos, por lo que tiene, además, el potencial de afectar la libertad de expresión, el acceso a la información y los derechos de asociación e igualdad,(5) dada la relación indisoluble entre ellos.(6)</w:t>
      </w:r>
    </w:p>
    <w:p w14:paraId="43BF512A"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eastAsia="Century Gothic" w:hAnsi="Century Gothic" w:cs="Century Gothic"/>
          <w:i/>
          <w:iCs/>
          <w:color w:val="000000"/>
          <w:sz w:val="18"/>
          <w:szCs w:val="18"/>
        </w:rPr>
        <w:t>En efecto, la privacidad es necesaria para la materialización de la comunicación de ideas, incluso, actualmente se reconoce el importante papel del anonimato para su ejercicio, lo que se advierte claramente en el caso de las redes sociales,(7) que son un espacio en donde esto puede potencializarse.</w:t>
      </w:r>
    </w:p>
  </w:footnote>
  <w:footnote w:id="108">
    <w:p w14:paraId="1D99916D"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VOTO CONCURRENTE QUE FORMULA EL MINISTRO LUIS MARÍA AGUILAR MORALES EN LA ACCIÓN DE INCONSTITUCIONALIDAD 82/2021 Y SU ACUMULADA 86/2021, PROMOVIDAS POR EL INSTITUTO NACIONAL DE TRANSPARENCIA, ACCESO A LA INFORMACIÓN Y PROTECCIÓN DE DATOS PERSONALES Y DIVERSOS SENADORES INTEGRANTES DE LA LXIV LEGISLATURA. Disponible en el siguiente enlace: </w:t>
      </w:r>
      <w:hyperlink r:id="rId51">
        <w:r w:rsidR="00001DF2" w:rsidRPr="00961DB4">
          <w:rPr>
            <w:rFonts w:ascii="Century Gothic" w:eastAsia="Century Gothic" w:hAnsi="Century Gothic" w:cs="Century Gothic"/>
            <w:color w:val="467886"/>
            <w:sz w:val="18"/>
            <w:szCs w:val="18"/>
            <w:u w:val="single"/>
          </w:rPr>
          <w:t>https://sjf2.scjn.gob.mx/detalle/voto/45240</w:t>
        </w:r>
      </w:hyperlink>
    </w:p>
    <w:p w14:paraId="276CBBEB"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i/>
          <w:iCs/>
          <w:color w:val="000000"/>
          <w:sz w:val="18"/>
          <w:szCs w:val="18"/>
        </w:rPr>
      </w:pPr>
      <w:r w:rsidRPr="00961DB4">
        <w:rPr>
          <w:rFonts w:ascii="Century Gothic" w:eastAsia="Century Gothic" w:hAnsi="Century Gothic" w:cs="Century Gothic"/>
          <w:i/>
          <w:iCs/>
          <w:color w:val="000000"/>
          <w:sz w:val="18"/>
          <w:szCs w:val="18"/>
        </w:rPr>
        <w:t>(…)</w:t>
      </w:r>
    </w:p>
    <w:p w14:paraId="1171FE7D"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i/>
          <w:iCs/>
          <w:color w:val="000000"/>
          <w:sz w:val="18"/>
          <w:szCs w:val="18"/>
        </w:rPr>
      </w:pPr>
      <w:r w:rsidRPr="00961DB4">
        <w:rPr>
          <w:rFonts w:ascii="Century Gothic" w:eastAsia="Century Gothic" w:hAnsi="Century Gothic" w:cs="Century Gothic"/>
          <w:i/>
          <w:iCs/>
          <w:color w:val="000000"/>
          <w:sz w:val="18"/>
          <w:szCs w:val="18"/>
        </w:rPr>
        <w:t>Por último, me parece sumamente enriquecedor e importante que en la sentencia se retome el análisis efectuado en el "informe del relator especial sobre la promoción y protección del derecho a la libertad de opinión y de expresión" de veintidós de mayo de dos mil quince, pues, en efecto, en él se consideró que el registro obligatorio de las tarjetas SIM, además de que puede proporcionar a los gobiernos la capacidad de vigilar a las personas y periodistas más allá de cualquier interés legítimo, menoscaban directamente el anonimato, en particular para aquellas personas que acceden a internet únicamente a través de la tecnología móvil y el cual, junto con el cifrado, brindan a los individuos una zona de vida privada para sostener opiniones y ejercer su libertad de expresión sin injerencia y ataques arbitrarios o ilegales,(16) por lo que entre las recomendaciones dirigidas a los Estados se encuentra la de abstenerse de obligar a los usuarios de los teléfonos móviles que registren su tarjeta SIM.(17)</w:t>
      </w:r>
    </w:p>
  </w:footnote>
  <w:footnote w:id="109">
    <w:p w14:paraId="5D3CCC43"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Respecto al principio de interdependencia, ver: Registro digital: 34055; Asunto: ACCIÓN DE INCONSTITUCIONALIDAD 55/2024; Duodécima Época; Fuente: Semanario Judicial de la Federación.; Libro 10, Junio de 2026; Instancia: Pleno. Disponible en el siguiente enlace: </w:t>
      </w:r>
      <w:hyperlink r:id="rId52">
        <w:r w:rsidR="00001DF2" w:rsidRPr="00961DB4">
          <w:rPr>
            <w:rFonts w:ascii="Century Gothic" w:eastAsia="Century Gothic" w:hAnsi="Century Gothic" w:cs="Century Gothic"/>
            <w:color w:val="467886"/>
            <w:sz w:val="18"/>
            <w:szCs w:val="18"/>
            <w:u w:val="single"/>
          </w:rPr>
          <w:t>https://sjf2.scjn.gob.mx/detalle/ejecutoria/34055</w:t>
        </w:r>
      </w:hyperlink>
      <w:r w:rsidRPr="00961DB4">
        <w:rPr>
          <w:rFonts w:ascii="Century Gothic" w:eastAsia="Century Gothic" w:hAnsi="Century Gothic" w:cs="Century Gothic"/>
          <w:color w:val="000000"/>
          <w:sz w:val="18"/>
          <w:szCs w:val="18"/>
        </w:rPr>
        <w:t xml:space="preserve">, que dio origen al criterio jurisprudencial de rubro: DERECHO A LA PROTESTA. SU RELACIÓN DE INTERDEPENDENCIA CON OTROS DERECHOS CIVILES Y POLÍTICOS; Tesis: P./J. 128/2026 (12a.); Instancia: Pleno; Registro digital: 2032259. Disponible en el siguiente enlace: </w:t>
      </w:r>
      <w:hyperlink r:id="rId53">
        <w:r w:rsidR="00001DF2" w:rsidRPr="00961DB4">
          <w:rPr>
            <w:rFonts w:ascii="Century Gothic" w:eastAsia="Century Gothic" w:hAnsi="Century Gothic" w:cs="Century Gothic"/>
            <w:color w:val="467886"/>
            <w:sz w:val="18"/>
            <w:szCs w:val="18"/>
            <w:u w:val="single"/>
          </w:rPr>
          <w:t>https://sjf2.scjn.gob.mx/detalle/tesis/2032259</w:t>
        </w:r>
      </w:hyperlink>
      <w:r w:rsidRPr="00961DB4">
        <w:rPr>
          <w:rFonts w:ascii="Century Gothic" w:eastAsia="Century Gothic" w:hAnsi="Century Gothic" w:cs="Century Gothic"/>
          <w:color w:val="000000"/>
          <w:sz w:val="18"/>
          <w:szCs w:val="18"/>
        </w:rPr>
        <w:t xml:space="preserve"> </w:t>
      </w:r>
    </w:p>
    <w:p w14:paraId="007511CB"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i/>
          <w:iCs/>
          <w:color w:val="000000"/>
          <w:sz w:val="18"/>
          <w:szCs w:val="18"/>
        </w:rPr>
      </w:pPr>
      <w:r w:rsidRPr="00961DB4">
        <w:rPr>
          <w:rFonts w:ascii="Century Gothic" w:eastAsia="Century Gothic" w:hAnsi="Century Gothic" w:cs="Century Gothic"/>
          <w:i/>
          <w:iCs/>
          <w:color w:val="000000"/>
          <w:sz w:val="18"/>
          <w:szCs w:val="18"/>
        </w:rPr>
        <w:t>61. Por estas razones, esta Corte ha sostenido que las normas que inciden en la libertad de expresión, especialmente cuando afectan el discurso político, deben someterse al mayor escrutinio judicial disponible. No se trata de un derecho aislado, sino de un eslabón dentro de una cadena normativa que articula pensamiento, información, reunión, asociación, petición y deliberación pública. Esa cadena funciona como un todo: cada derecho sostiene a los demás y todos juntos conforman las precondiciones que hacen posible la vida democrática, en plena consonancia con la noción de interdependencia de los derechos humanos. Afectar uno de esos eslabones —aunque sea de manera indirecta— implica debilitar toda la cadena, comprometiendo las condiciones estructurales que permiten que la ciudadanía participe, delibere y exija rendición de cuentas.</w:t>
      </w:r>
    </w:p>
  </w:footnote>
  <w:footnote w:id="110">
    <w:p w14:paraId="263837FE"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Respecto al principio de interdependencia, ver: Registro digital: 34055; Asunto: ACCIÓN DE INCONSTITUCIONALIDAD 55/2024; Duodécima Época; Fuente: Semanario Judicial de la Federación.; Libro 10, Junio de 2026; Instancia: Pleno. Disponible en el siguiente enlace: https://sjf2.scjn.gob.mx/detalle/tesis/2032259, que dio origen al criterio jurisprudencial de rubro: DERECHO A LA PROTESTA. SU RELACIÓN DE INTERDEPENDENCIA CON OTROS DERECHOS CIVILES Y POLÍTICOS; Tesis: P./J. 128/2026 (12a.); Instancia: Pleno; Registro digital: 2032259</w:t>
      </w:r>
    </w:p>
    <w:p w14:paraId="55C8DB4C"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i/>
          <w:iCs/>
          <w:color w:val="000000"/>
          <w:sz w:val="18"/>
          <w:szCs w:val="18"/>
        </w:rPr>
      </w:pPr>
      <w:r w:rsidRPr="00961DB4">
        <w:rPr>
          <w:rFonts w:ascii="Century Gothic" w:eastAsia="Century Gothic" w:hAnsi="Century Gothic" w:cs="Century Gothic"/>
          <w:i/>
          <w:iCs/>
          <w:color w:val="000000"/>
          <w:sz w:val="18"/>
          <w:szCs w:val="18"/>
        </w:rPr>
        <w:t>61. Por estas razones, esta Corte ha sostenido que las normas que inciden en la libertad de expresión, especialmente cuando afectan el discurso político, deben someterse al mayor escrutinio judicial disponible. No se trata de un derecho aislado, sino de un eslabón dentro de una cadena normativa que articula pensamiento, información, reunión, asociación, petición y deliberación pública. Esa cadena funciona como un todo: cada derecho sostiene a los demás y todos juntos conforman las precondiciones que hacen posible la vida democrática, en plena consonancia con la noción de interdependencia de los derechos humanos. Afectar uno de esos eslabones —aunque sea de manera indirecta— implica debilitar toda la cadena, comprometiendo las condiciones estructurales que permiten que la ciudadanía participe, delibere y exija rendición de cuentas.</w:t>
      </w:r>
    </w:p>
  </w:footnote>
  <w:footnote w:id="111">
    <w:p w14:paraId="1591D7A7"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CIDH. “Estándares para una Internet libre, abierta e incluyente”. OEA/Ser.L/V/II. 15 de marzo de 2017. párr. 32. Disponible en el siguiente enlace: </w:t>
      </w:r>
      <w:hyperlink r:id="rId54">
        <w:r w:rsidR="00001DF2" w:rsidRPr="00961DB4">
          <w:rPr>
            <w:rFonts w:ascii="Century Gothic" w:eastAsia="Century Gothic" w:hAnsi="Century Gothic" w:cs="Century Gothic"/>
            <w:color w:val="467886"/>
            <w:sz w:val="18"/>
            <w:szCs w:val="18"/>
            <w:u w:val="single"/>
          </w:rPr>
          <w:t>https://www.oas.org/es/cidh/expresion/docs/publicaciones/internet_2016_esp.pdf</w:t>
        </w:r>
      </w:hyperlink>
      <w:r w:rsidRPr="00961DB4">
        <w:rPr>
          <w:rFonts w:ascii="Century Gothic" w:eastAsia="Century Gothic" w:hAnsi="Century Gothic" w:cs="Century Gothic"/>
          <w:color w:val="000000"/>
          <w:sz w:val="18"/>
          <w:szCs w:val="18"/>
        </w:rPr>
        <w:t xml:space="preserve"> </w:t>
      </w:r>
    </w:p>
  </w:footnote>
  <w:footnote w:id="112">
    <w:p w14:paraId="170AE628"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Presidencia de la República. Exposición de motivos de la Iniciativa con proyecto de decreto por el que se expide la Ley en Materia de Telecomunicaciones y Radiodifusión, pág. 18. Disponible en el siguiente enlace: </w:t>
      </w:r>
      <w:hyperlink r:id="rId55">
        <w:r w:rsidR="00001DF2" w:rsidRPr="00961DB4">
          <w:rPr>
            <w:rFonts w:ascii="Century Gothic" w:eastAsia="Century Gothic" w:hAnsi="Century Gothic" w:cs="Century Gothic"/>
            <w:color w:val="467886"/>
            <w:sz w:val="18"/>
            <w:szCs w:val="18"/>
            <w:u w:val="single"/>
          </w:rPr>
          <w:t>https://infosen.senado.gob.mx/sgsp/documentos/expedientes-digitales/66/2213/proceso-legislativo/2213LXVI.pdf</w:t>
        </w:r>
      </w:hyperlink>
      <w:r w:rsidRPr="00961DB4">
        <w:rPr>
          <w:rFonts w:ascii="Century Gothic" w:eastAsia="Century Gothic" w:hAnsi="Century Gothic" w:cs="Century Gothic"/>
          <w:color w:val="000000"/>
          <w:sz w:val="18"/>
          <w:szCs w:val="18"/>
        </w:rPr>
        <w:t xml:space="preserve"> </w:t>
      </w:r>
    </w:p>
    <w:p w14:paraId="182C40C2"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i/>
          <w:iCs/>
          <w:color w:val="000000"/>
          <w:sz w:val="18"/>
          <w:szCs w:val="18"/>
        </w:rPr>
      </w:pPr>
      <w:r w:rsidRPr="00961DB4">
        <w:rPr>
          <w:rFonts w:ascii="Century Gothic" w:eastAsia="Century Gothic" w:hAnsi="Century Gothic" w:cs="Century Gothic"/>
          <w:i/>
          <w:iCs/>
          <w:color w:val="000000"/>
          <w:sz w:val="18"/>
          <w:szCs w:val="18"/>
        </w:rPr>
        <w:t xml:space="preserve">“En la era digital, el acceso a Internet ya no es un privilegio, sino un derecho fundamental que impacta en el ejercicio de otros derechos esenciales como </w:t>
      </w:r>
      <w:r w:rsidRPr="00961DB4">
        <w:rPr>
          <w:rFonts w:ascii="Century Gothic" w:eastAsia="Century Gothic" w:hAnsi="Century Gothic" w:cs="Century Gothic"/>
          <w:b/>
          <w:bCs/>
          <w:i/>
          <w:iCs/>
          <w:color w:val="000000"/>
          <w:sz w:val="18"/>
          <w:szCs w:val="18"/>
        </w:rPr>
        <w:t>la educación, la salud, el trabajo y la participación ciudadana</w:t>
      </w:r>
      <w:r w:rsidRPr="00961DB4">
        <w:rPr>
          <w:rFonts w:ascii="Century Gothic" w:eastAsia="Century Gothic" w:hAnsi="Century Gothic" w:cs="Century Gothic"/>
          <w:i/>
          <w:iCs/>
          <w:color w:val="000000"/>
          <w:sz w:val="18"/>
          <w:szCs w:val="18"/>
        </w:rPr>
        <w:t>”</w:t>
      </w:r>
    </w:p>
  </w:footnote>
  <w:footnote w:id="113">
    <w:p w14:paraId="74BD1D1A"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PRODECON. PRODECON defiende los derechos de las personas contribuyentes ante la suplantación o robo de identidad. Boletin 09/2025. 21 de agosto de 2025. Disponible en el siguiente enlace: </w:t>
      </w:r>
      <w:hyperlink r:id="rId56">
        <w:r w:rsidR="00001DF2" w:rsidRPr="00961DB4">
          <w:rPr>
            <w:rFonts w:ascii="Century Gothic" w:eastAsia="Century Gothic" w:hAnsi="Century Gothic" w:cs="Century Gothic"/>
            <w:color w:val="467886"/>
            <w:sz w:val="18"/>
            <w:szCs w:val="18"/>
            <w:u w:val="single"/>
          </w:rPr>
          <w:t>https://www.prodecon.gob.mx/wp-content/uploads/2025/08/Boletin-BUAP-9-vf.pdf</w:t>
        </w:r>
      </w:hyperlink>
      <w:r w:rsidRPr="00961DB4">
        <w:rPr>
          <w:rFonts w:ascii="Century Gothic" w:eastAsia="Century Gothic" w:hAnsi="Century Gothic" w:cs="Century Gothic"/>
          <w:color w:val="000000"/>
          <w:sz w:val="18"/>
          <w:szCs w:val="18"/>
        </w:rPr>
        <w:t xml:space="preserve"> </w:t>
      </w:r>
    </w:p>
  </w:footnote>
  <w:footnote w:id="114">
    <w:p w14:paraId="16126B5B"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CIDH. “Situación de Derechos Humanos en México”. OEA/Ser.L/V/II. Doc. 44/15. 31 de diciembre 2015. Consulta en: </w:t>
      </w:r>
      <w:hyperlink r:id="rId57">
        <w:r w:rsidR="00001DF2" w:rsidRPr="00961DB4">
          <w:rPr>
            <w:rFonts w:ascii="Century Gothic" w:eastAsia="Century Gothic" w:hAnsi="Century Gothic" w:cs="Century Gothic"/>
            <w:color w:val="467886"/>
            <w:sz w:val="18"/>
            <w:szCs w:val="18"/>
            <w:u w:val="single"/>
          </w:rPr>
          <w:t>https://www.oas.org/es/cidh/informes/pdfs/Mexico2016-es.pdf</w:t>
        </w:r>
      </w:hyperlink>
      <w:r w:rsidRPr="00961DB4">
        <w:rPr>
          <w:rFonts w:ascii="Century Gothic" w:eastAsia="Century Gothic" w:hAnsi="Century Gothic" w:cs="Century Gothic"/>
          <w:color w:val="000000"/>
          <w:sz w:val="18"/>
          <w:szCs w:val="18"/>
        </w:rPr>
        <w:t>, párr. 498.</w:t>
      </w:r>
    </w:p>
  </w:footnote>
  <w:footnote w:id="115">
    <w:p w14:paraId="5BAD2DBE"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Article 19. Gobierno mexicano usó Pegasus para espiar al menos a 456 personas en 2019. 14 de abril de 2025. Consutlta en: </w:t>
      </w:r>
      <w:hyperlink r:id="rId58">
        <w:r w:rsidR="00001DF2" w:rsidRPr="00961DB4">
          <w:rPr>
            <w:rFonts w:ascii="Century Gothic" w:eastAsia="Century Gothic" w:hAnsi="Century Gothic" w:cs="Century Gothic"/>
            <w:color w:val="467886"/>
            <w:sz w:val="18"/>
            <w:szCs w:val="18"/>
            <w:u w:val="single"/>
          </w:rPr>
          <w:t>https://articulo19.org/gobierno-mexicano-uso-pegasus-para-espiar-al-menos-a-456-personas-en-2019/</w:t>
        </w:r>
      </w:hyperlink>
    </w:p>
  </w:footnote>
  <w:footnote w:id="116">
    <w:p w14:paraId="1DC0A7E5"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INAI. Expediente: INAI 3S.07.01-007/2018. Disponible en: </w:t>
      </w:r>
      <w:hyperlink r:id="rId59">
        <w:r w:rsidR="00001DF2" w:rsidRPr="00961DB4">
          <w:rPr>
            <w:rFonts w:ascii="Century Gothic" w:eastAsia="Century Gothic" w:hAnsi="Century Gothic" w:cs="Century Gothic"/>
            <w:color w:val="467886"/>
            <w:sz w:val="18"/>
            <w:szCs w:val="18"/>
            <w:u w:val="single"/>
          </w:rPr>
          <w:t>https://home.inai.org.mx/wp-content/documentos/Resolucionesenmateria/INAI.32.07.01-007-2018.pdf</w:t>
        </w:r>
      </w:hyperlink>
      <w:r w:rsidRPr="00961DB4">
        <w:rPr>
          <w:rFonts w:ascii="Century Gothic" w:eastAsia="Century Gothic" w:hAnsi="Century Gothic" w:cs="Century Gothic"/>
          <w:color w:val="000000"/>
          <w:sz w:val="18"/>
          <w:szCs w:val="18"/>
        </w:rPr>
        <w:t xml:space="preserve"> </w:t>
      </w:r>
    </w:p>
  </w:footnote>
  <w:footnote w:id="117">
    <w:p w14:paraId="02F5B5D1"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Article 19. Las #GolondrinasEnElAlambre del gobierno federal: Torres falsas de telefonía para recolectar información de personas. 03 de junio de 2020. Disponible en: </w:t>
      </w:r>
      <w:hyperlink r:id="rId60">
        <w:r w:rsidR="00001DF2" w:rsidRPr="00961DB4">
          <w:rPr>
            <w:rFonts w:ascii="Century Gothic" w:eastAsia="Century Gothic" w:hAnsi="Century Gothic" w:cs="Century Gothic"/>
            <w:color w:val="467886"/>
            <w:sz w:val="18"/>
            <w:szCs w:val="18"/>
            <w:u w:val="single"/>
          </w:rPr>
          <w:t>https://articulo19.org/las-golondrinasenelalambre-del-gobierno-federal-torres-falsas-de-telefonia-para-recolectar-informacion-de-personas/</w:t>
        </w:r>
      </w:hyperlink>
    </w:p>
  </w:footnote>
  <w:footnote w:id="118">
    <w:p w14:paraId="274CBA31"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R3D. “</w:t>
      </w:r>
      <w:r w:rsidRPr="00961DB4">
        <w:rPr>
          <w:rFonts w:ascii="Century Gothic" w:eastAsia="Century Gothic" w:hAnsi="Century Gothic" w:cs="Century Gothic"/>
          <w:i/>
          <w:iCs/>
          <w:color w:val="000000"/>
          <w:sz w:val="18"/>
          <w:szCs w:val="18"/>
        </w:rPr>
        <w:t>#FiscalíaEspía: La FGR adquirió equipo capaz de espiar ilegalmente a todos los usuarios de internet en México</w:t>
      </w:r>
      <w:r w:rsidRPr="00961DB4">
        <w:rPr>
          <w:rFonts w:ascii="Century Gothic" w:eastAsia="Century Gothic" w:hAnsi="Century Gothic" w:cs="Century Gothic"/>
          <w:color w:val="000000"/>
          <w:sz w:val="18"/>
          <w:szCs w:val="18"/>
        </w:rPr>
        <w:t xml:space="preserve">”. 14 de abril de 2021. Consulta en: </w:t>
      </w:r>
      <w:hyperlink r:id="rId61">
        <w:r w:rsidR="00001DF2" w:rsidRPr="00961DB4">
          <w:rPr>
            <w:rFonts w:ascii="Century Gothic" w:eastAsia="Century Gothic" w:hAnsi="Century Gothic" w:cs="Century Gothic"/>
            <w:color w:val="467886"/>
            <w:sz w:val="18"/>
            <w:szCs w:val="18"/>
            <w:u w:val="single"/>
          </w:rPr>
          <w:t>https://r3d.mx/2021/04/14/fiscaliaespia-la-fgradquirio-equipo-capaz-de-espiar-ilegalmente-a-todos-los-usuarios-de-internet-en-mexico/</w:t>
        </w:r>
      </w:hyperlink>
    </w:p>
  </w:footnote>
  <w:footnote w:id="119">
    <w:p w14:paraId="74B641AC" w14:textId="77777777" w:rsidR="00383FAE" w:rsidRPr="00961DB4" w:rsidRDefault="00383FAE"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Omar H Garcia Harfuch [@OHarfuch]. 16 de junio de 2026. “Durante la administración de la Presidenta @Claudiashein, la coordinación del @GabSeguridadMX con los 32 Gobiernos Estatales (…)”. [Publicación]. X. Disponible en el siguiente enlace: </w:t>
      </w:r>
      <w:hyperlink r:id="rId62">
        <w:r w:rsidRPr="00961DB4">
          <w:rPr>
            <w:rFonts w:ascii="Century Gothic" w:eastAsia="Century Gothic" w:hAnsi="Century Gothic" w:cs="Century Gothic"/>
            <w:color w:val="467886"/>
            <w:sz w:val="18"/>
            <w:szCs w:val="18"/>
            <w:u w:val="single"/>
          </w:rPr>
          <w:t>https://x.com/OHarfuch/status/2066896691291169067?s=20</w:t>
        </w:r>
      </w:hyperlink>
      <w:r w:rsidRPr="00961DB4">
        <w:rPr>
          <w:rFonts w:ascii="Century Gothic" w:eastAsia="Century Gothic" w:hAnsi="Century Gothic" w:cs="Century Gothic"/>
          <w:color w:val="000000"/>
          <w:sz w:val="18"/>
          <w:szCs w:val="18"/>
        </w:rPr>
        <w:t xml:space="preserve"> </w:t>
      </w:r>
    </w:p>
  </w:footnote>
  <w:footnote w:id="120">
    <w:p w14:paraId="458FA42C"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El Relator Especial de las Naciones Unidas (ONU) para la Libertad de Opinión y de Expresión, la Representante para la Libertad de los Medios de Comunicación de la Organización para la Seguridad y la Cooperación en Europa (OSCE), la Relatora Especial de la Organización de Estados Americanos (OEA) para la Libertad de Expresión y la Relatora Especial sobre Libertad de Expresión y Acceso a la Información de la Comisión Africana de Derechos Humanos y de los Pueblos (CADHP). “Declaración conjunta sobre libertad de expresión e Internet”. 1 de junio de 2011. Disponible en el siguiente enlace: </w:t>
      </w:r>
      <w:hyperlink r:id="rId63">
        <w:r w:rsidR="00001DF2" w:rsidRPr="00961DB4">
          <w:rPr>
            <w:rFonts w:ascii="Century Gothic" w:eastAsia="Century Gothic" w:hAnsi="Century Gothic" w:cs="Century Gothic"/>
            <w:color w:val="467886"/>
            <w:sz w:val="18"/>
            <w:szCs w:val="18"/>
            <w:u w:val="single"/>
          </w:rPr>
          <w:t>https://www.oas.org/es/cidh/expresion/showarticle.asp?artID=849</w:t>
        </w:r>
      </w:hyperlink>
      <w:r w:rsidRPr="00961DB4">
        <w:rPr>
          <w:rFonts w:ascii="Century Gothic" w:eastAsia="Century Gothic" w:hAnsi="Century Gothic" w:cs="Century Gothic"/>
          <w:color w:val="000000"/>
          <w:sz w:val="18"/>
          <w:szCs w:val="18"/>
        </w:rPr>
        <w:t xml:space="preserve"> </w:t>
      </w:r>
    </w:p>
  </w:footnote>
  <w:footnote w:id="121">
    <w:p w14:paraId="329A0992"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Ídem.</w:t>
      </w:r>
    </w:p>
  </w:footnote>
  <w:footnote w:id="122">
    <w:p w14:paraId="5A6DFADB"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CIDH. “Estándares para una Internet libre, abierta e incluyente”. Op. Cit., párr. 32</w:t>
      </w:r>
    </w:p>
  </w:footnote>
  <w:footnote w:id="123">
    <w:p w14:paraId="483D9513"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i/>
          <w:iCs/>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Ibidem, párr. 33 y ONU. </w:t>
      </w:r>
      <w:r w:rsidRPr="00961DB4">
        <w:rPr>
          <w:rFonts w:ascii="Century Gothic" w:eastAsia="Century Gothic" w:hAnsi="Century Gothic" w:cs="Century Gothic"/>
          <w:i/>
          <w:iCs/>
          <w:color w:val="000000"/>
          <w:sz w:val="18"/>
          <w:szCs w:val="18"/>
        </w:rPr>
        <w:t>Informe del Relator Especial sobre la promoción y protección del</w:t>
      </w:r>
    </w:p>
    <w:p w14:paraId="7D8CDADB"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eastAsia="Century Gothic" w:hAnsi="Century Gothic" w:cs="Century Gothic"/>
          <w:i/>
          <w:iCs/>
          <w:color w:val="000000"/>
          <w:sz w:val="18"/>
          <w:szCs w:val="18"/>
        </w:rPr>
        <w:t>derecho a la libertad de expresión Frank La Rue</w:t>
      </w:r>
      <w:r w:rsidRPr="00961DB4">
        <w:rPr>
          <w:rFonts w:ascii="Century Gothic" w:eastAsia="Century Gothic" w:hAnsi="Century Gothic" w:cs="Century Gothic"/>
          <w:color w:val="000000"/>
          <w:sz w:val="18"/>
          <w:szCs w:val="18"/>
        </w:rPr>
        <w:t xml:space="preserve">. 16 de mayo de 2011 . A/HRC/17/27. Disponible en el siguiente enlace: </w:t>
      </w:r>
      <w:hyperlink r:id="rId64">
        <w:r w:rsidR="00001DF2" w:rsidRPr="00961DB4">
          <w:rPr>
            <w:rFonts w:ascii="Century Gothic" w:eastAsia="Century Gothic" w:hAnsi="Century Gothic" w:cs="Century Gothic"/>
            <w:color w:val="467886"/>
            <w:sz w:val="18"/>
            <w:szCs w:val="18"/>
            <w:u w:val="single"/>
          </w:rPr>
          <w:t>https://www.acnur.org/fileadmin/Documentos/BDL/2015/10048.pdf</w:t>
        </w:r>
      </w:hyperlink>
      <w:r w:rsidRPr="00961DB4">
        <w:rPr>
          <w:rFonts w:ascii="Century Gothic" w:eastAsia="Century Gothic" w:hAnsi="Century Gothic" w:cs="Century Gothic"/>
          <w:color w:val="000000"/>
          <w:sz w:val="18"/>
          <w:szCs w:val="18"/>
        </w:rPr>
        <w:t xml:space="preserve"> </w:t>
      </w:r>
    </w:p>
  </w:footnote>
  <w:footnote w:id="124">
    <w:p w14:paraId="24DB255D" w14:textId="07608E75" w:rsidR="006A01DE" w:rsidRPr="00961DB4" w:rsidRDefault="006A01DE" w:rsidP="00961DB4">
      <w:pPr>
        <w:pStyle w:val="Textonotapie"/>
        <w:spacing w:after="80"/>
        <w:jc w:val="both"/>
        <w:rPr>
          <w:rFonts w:ascii="Century Gothic" w:hAnsi="Century Gothic"/>
          <w:sz w:val="18"/>
          <w:szCs w:val="18"/>
        </w:rPr>
      </w:pPr>
      <w:r w:rsidRPr="00961DB4">
        <w:rPr>
          <w:rStyle w:val="Refdenotaalpie"/>
          <w:rFonts w:ascii="Century Gothic" w:hAnsi="Century Gothic"/>
          <w:sz w:val="18"/>
          <w:szCs w:val="18"/>
        </w:rPr>
        <w:footnoteRef/>
      </w:r>
      <w:r w:rsidRPr="00961DB4">
        <w:rPr>
          <w:rFonts w:ascii="Century Gothic" w:hAnsi="Century Gothic"/>
          <w:sz w:val="18"/>
          <w:szCs w:val="18"/>
        </w:rPr>
        <w:t xml:space="preserve"> </w:t>
      </w:r>
      <w:r w:rsidR="002818E2" w:rsidRPr="00961DB4">
        <w:rPr>
          <w:rFonts w:ascii="Century Gothic" w:hAnsi="Century Gothic"/>
          <w:sz w:val="18"/>
          <w:szCs w:val="18"/>
        </w:rPr>
        <w:t>Artículo 13. Para efectos de la presente Ley son derechos de niñas, niños y adolescentes, de manera enunciativa más no limitativa, los siguientes:</w:t>
      </w:r>
    </w:p>
    <w:p w14:paraId="77813CC2" w14:textId="2CA4D882" w:rsidR="002818E2" w:rsidRPr="00961DB4" w:rsidRDefault="002818E2" w:rsidP="00961DB4">
      <w:pPr>
        <w:pStyle w:val="Textonotapie"/>
        <w:spacing w:after="80"/>
        <w:jc w:val="both"/>
        <w:rPr>
          <w:rFonts w:ascii="Century Gothic" w:hAnsi="Century Gothic"/>
          <w:sz w:val="18"/>
          <w:szCs w:val="18"/>
        </w:rPr>
      </w:pPr>
      <w:r w:rsidRPr="00961DB4">
        <w:rPr>
          <w:rFonts w:ascii="Century Gothic" w:hAnsi="Century Gothic"/>
          <w:sz w:val="18"/>
          <w:szCs w:val="18"/>
        </w:rPr>
        <w:t>(…)</w:t>
      </w:r>
    </w:p>
    <w:p w14:paraId="2B579697" w14:textId="7EA7386C" w:rsidR="002818E2" w:rsidRPr="00961DB4" w:rsidRDefault="002818E2" w:rsidP="00961DB4">
      <w:pPr>
        <w:pStyle w:val="Textonotapie"/>
        <w:spacing w:after="80"/>
        <w:jc w:val="both"/>
        <w:rPr>
          <w:rFonts w:ascii="Century Gothic" w:hAnsi="Century Gothic"/>
          <w:sz w:val="18"/>
          <w:szCs w:val="18"/>
        </w:rPr>
      </w:pPr>
      <w:r w:rsidRPr="00961DB4">
        <w:rPr>
          <w:rFonts w:ascii="Century Gothic" w:hAnsi="Century Gothic"/>
          <w:sz w:val="18"/>
          <w:szCs w:val="18"/>
        </w:rPr>
        <w:t>XX.</w:t>
      </w:r>
      <w:r w:rsidR="00E92698" w:rsidRPr="00961DB4">
        <w:rPr>
          <w:rFonts w:ascii="Century Gothic" w:hAnsi="Century Gothic"/>
          <w:sz w:val="18"/>
          <w:szCs w:val="18"/>
        </w:rPr>
        <w:t xml:space="preserve"> </w:t>
      </w:r>
      <w:r w:rsidRPr="00961DB4">
        <w:rPr>
          <w:rFonts w:ascii="Century Gothic" w:hAnsi="Century Gothic"/>
          <w:sz w:val="18"/>
          <w:szCs w:val="18"/>
        </w:rPr>
        <w:t>Derecho de acceso a las Tecnologías de la Información y Comunicación.</w:t>
      </w:r>
    </w:p>
    <w:p w14:paraId="203AC4AB" w14:textId="67D8B3FE" w:rsidR="002818E2" w:rsidRPr="00961DB4" w:rsidRDefault="002818E2" w:rsidP="00961DB4">
      <w:pPr>
        <w:pStyle w:val="Textonotapie"/>
        <w:spacing w:after="80"/>
        <w:jc w:val="both"/>
        <w:rPr>
          <w:rFonts w:ascii="Century Gothic" w:hAnsi="Century Gothic"/>
          <w:sz w:val="18"/>
          <w:szCs w:val="18"/>
        </w:rPr>
      </w:pPr>
      <w:r w:rsidRPr="00961DB4">
        <w:rPr>
          <w:rFonts w:ascii="Century Gothic" w:hAnsi="Century Gothic"/>
          <w:sz w:val="18"/>
          <w:szCs w:val="18"/>
        </w:rPr>
        <w:t>(…)</w:t>
      </w:r>
    </w:p>
  </w:footnote>
  <w:footnote w:id="125">
    <w:p w14:paraId="3B743F74" w14:textId="48876067" w:rsidR="006A01DE" w:rsidRPr="00961DB4" w:rsidRDefault="006A01DE" w:rsidP="00961DB4">
      <w:pPr>
        <w:pStyle w:val="Textonotapie"/>
        <w:spacing w:after="80"/>
        <w:jc w:val="both"/>
        <w:rPr>
          <w:rFonts w:ascii="Century Gothic" w:hAnsi="Century Gothic"/>
          <w:sz w:val="18"/>
          <w:szCs w:val="18"/>
        </w:rPr>
      </w:pPr>
      <w:r w:rsidRPr="00961DB4">
        <w:rPr>
          <w:rStyle w:val="Refdenotaalpie"/>
          <w:rFonts w:ascii="Century Gothic" w:hAnsi="Century Gothic"/>
          <w:sz w:val="18"/>
          <w:szCs w:val="18"/>
        </w:rPr>
        <w:footnoteRef/>
      </w:r>
      <w:r w:rsidRPr="00961DB4">
        <w:rPr>
          <w:rFonts w:ascii="Century Gothic" w:hAnsi="Century Gothic"/>
          <w:sz w:val="18"/>
          <w:szCs w:val="18"/>
        </w:rPr>
        <w:t xml:space="preserve"> </w:t>
      </w:r>
      <w:r w:rsidR="002818E2" w:rsidRPr="00961DB4">
        <w:rPr>
          <w:rFonts w:ascii="Century Gothic" w:hAnsi="Century Gothic"/>
          <w:sz w:val="18"/>
          <w:szCs w:val="18"/>
        </w:rPr>
        <w:t>Artículo 101 Bis. Niñas, niños y adolescentes gozan del derecho de acceso universal a las Tecnologías de la Información y Comunicación, así como a los servicios de radiodifusión y telecomunicaciones, incluido el de banda ancha e Internet establecidos en la Constitución Política de los Estados Unidos Mexicanos y en la Ley Federal de Telecomunicaciones y Radiodifusión.</w:t>
      </w:r>
    </w:p>
  </w:footnote>
  <w:footnote w:id="126">
    <w:p w14:paraId="4CB318E3" w14:textId="2F9CCC15" w:rsidR="00381D53" w:rsidRPr="00961DB4" w:rsidRDefault="00381D53" w:rsidP="00961DB4">
      <w:pPr>
        <w:pStyle w:val="Textonotapie"/>
        <w:spacing w:after="80"/>
        <w:jc w:val="both"/>
        <w:rPr>
          <w:rFonts w:ascii="Century Gothic" w:hAnsi="Century Gothic"/>
          <w:sz w:val="18"/>
          <w:szCs w:val="18"/>
        </w:rPr>
      </w:pPr>
      <w:r w:rsidRPr="00961DB4">
        <w:rPr>
          <w:rStyle w:val="Refdenotaalpie"/>
          <w:rFonts w:ascii="Century Gothic" w:hAnsi="Century Gothic"/>
          <w:sz w:val="18"/>
          <w:szCs w:val="18"/>
        </w:rPr>
        <w:footnoteRef/>
      </w:r>
      <w:r w:rsidRPr="00961DB4">
        <w:rPr>
          <w:rFonts w:ascii="Century Gothic" w:hAnsi="Century Gothic"/>
          <w:sz w:val="18"/>
          <w:szCs w:val="18"/>
        </w:rPr>
        <w:t xml:space="preserve"> INEGI. Encuesta Nacional sobre Disponibilidad y Uso de Tecnologías de la Información en los Hogares (ENDUTIH).</w:t>
      </w:r>
      <w:r w:rsidR="00497D40" w:rsidRPr="00961DB4">
        <w:rPr>
          <w:rFonts w:ascii="Century Gothic" w:hAnsi="Century Gothic"/>
          <w:sz w:val="18"/>
          <w:szCs w:val="18"/>
        </w:rPr>
        <w:t xml:space="preserve"> Reporte de resultados 19/26.</w:t>
      </w:r>
      <w:r w:rsidRPr="00961DB4">
        <w:rPr>
          <w:rFonts w:ascii="Century Gothic" w:hAnsi="Century Gothic"/>
          <w:sz w:val="18"/>
          <w:szCs w:val="18"/>
        </w:rPr>
        <w:t xml:space="preserve"> 16 de junio de 2026. Disponible en el siguiente enlace: </w:t>
      </w:r>
      <w:hyperlink r:id="rId65" w:history="1">
        <w:r w:rsidRPr="00961DB4">
          <w:rPr>
            <w:rStyle w:val="Hipervnculo"/>
            <w:rFonts w:ascii="Century Gothic" w:hAnsi="Century Gothic"/>
            <w:sz w:val="18"/>
            <w:szCs w:val="18"/>
          </w:rPr>
          <w:t>https://www.inegi.org.mx/contenidos/saladeprensa/boletines/2026/endutih/ENDUTIH_25_RR.pdf</w:t>
        </w:r>
      </w:hyperlink>
      <w:r w:rsidRPr="00961DB4">
        <w:rPr>
          <w:rFonts w:ascii="Century Gothic" w:hAnsi="Century Gothic"/>
          <w:sz w:val="18"/>
          <w:szCs w:val="18"/>
        </w:rPr>
        <w:t xml:space="preserve"> </w:t>
      </w:r>
    </w:p>
  </w:footnote>
  <w:footnote w:id="127">
    <w:p w14:paraId="1311DF94" w14:textId="1D218412" w:rsidR="00381D53" w:rsidRPr="00961DB4" w:rsidRDefault="00381D53" w:rsidP="00961DB4">
      <w:pPr>
        <w:pStyle w:val="Textonotapie"/>
        <w:spacing w:after="80"/>
        <w:jc w:val="both"/>
        <w:rPr>
          <w:rFonts w:ascii="Century Gothic" w:hAnsi="Century Gothic"/>
          <w:sz w:val="18"/>
          <w:szCs w:val="18"/>
        </w:rPr>
      </w:pPr>
      <w:r w:rsidRPr="00961DB4">
        <w:rPr>
          <w:rStyle w:val="Refdenotaalpie"/>
          <w:rFonts w:ascii="Century Gothic" w:hAnsi="Century Gothic"/>
          <w:sz w:val="18"/>
          <w:szCs w:val="18"/>
        </w:rPr>
        <w:footnoteRef/>
      </w:r>
      <w:r w:rsidRPr="00961DB4">
        <w:rPr>
          <w:rFonts w:ascii="Century Gothic" w:hAnsi="Century Gothic"/>
          <w:sz w:val="18"/>
          <w:szCs w:val="18"/>
        </w:rPr>
        <w:t xml:space="preserve"> Ibidem, pág. 5.</w:t>
      </w:r>
    </w:p>
  </w:footnote>
  <w:footnote w:id="128">
    <w:p w14:paraId="2E2F4314" w14:textId="27AE29DC" w:rsidR="00381D53" w:rsidRPr="00961DB4" w:rsidRDefault="00381D53" w:rsidP="00961DB4">
      <w:pPr>
        <w:pStyle w:val="Textonotapie"/>
        <w:spacing w:after="80"/>
        <w:jc w:val="both"/>
        <w:rPr>
          <w:rFonts w:ascii="Century Gothic" w:hAnsi="Century Gothic"/>
          <w:sz w:val="18"/>
          <w:szCs w:val="18"/>
        </w:rPr>
      </w:pPr>
      <w:r w:rsidRPr="00961DB4">
        <w:rPr>
          <w:rStyle w:val="Refdenotaalpie"/>
          <w:rFonts w:ascii="Century Gothic" w:hAnsi="Century Gothic"/>
          <w:sz w:val="18"/>
          <w:szCs w:val="18"/>
        </w:rPr>
        <w:footnoteRef/>
      </w:r>
      <w:r w:rsidRPr="00961DB4">
        <w:rPr>
          <w:rFonts w:ascii="Century Gothic" w:hAnsi="Century Gothic"/>
          <w:sz w:val="18"/>
          <w:szCs w:val="18"/>
        </w:rPr>
        <w:t xml:space="preserve"> </w:t>
      </w:r>
      <w:r w:rsidR="003E1571" w:rsidRPr="00961DB4">
        <w:rPr>
          <w:rFonts w:ascii="Century Gothic" w:hAnsi="Century Gothic"/>
          <w:sz w:val="18"/>
          <w:szCs w:val="18"/>
        </w:rPr>
        <w:t>Ídem.</w:t>
      </w:r>
    </w:p>
  </w:footnote>
  <w:footnote w:id="129">
    <w:p w14:paraId="3182D025" w14:textId="156D3ABE" w:rsidR="003E1571" w:rsidRPr="00961DB4" w:rsidRDefault="003E1571" w:rsidP="00961DB4">
      <w:pPr>
        <w:pStyle w:val="Textonotapie"/>
        <w:spacing w:after="80"/>
        <w:jc w:val="both"/>
        <w:rPr>
          <w:rFonts w:ascii="Century Gothic" w:hAnsi="Century Gothic"/>
          <w:sz w:val="18"/>
          <w:szCs w:val="18"/>
        </w:rPr>
      </w:pPr>
      <w:r w:rsidRPr="00961DB4">
        <w:rPr>
          <w:rStyle w:val="Refdenotaalpie"/>
          <w:rFonts w:ascii="Century Gothic" w:hAnsi="Century Gothic"/>
          <w:sz w:val="18"/>
          <w:szCs w:val="18"/>
        </w:rPr>
        <w:footnoteRef/>
      </w:r>
      <w:r w:rsidRPr="00961DB4">
        <w:rPr>
          <w:rFonts w:ascii="Century Gothic" w:hAnsi="Century Gothic"/>
          <w:sz w:val="18"/>
          <w:szCs w:val="18"/>
        </w:rPr>
        <w:t xml:space="preserve"> Ibidem, pág. 7.</w:t>
      </w:r>
    </w:p>
  </w:footnote>
  <w:footnote w:id="130">
    <w:p w14:paraId="1FB50569"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CIDH. “Estándares para una Internet libre, abierta e incluyente”. Op. Cit., párr. 32</w:t>
      </w:r>
    </w:p>
  </w:footnote>
  <w:footnote w:id="131">
    <w:p w14:paraId="7E9D5EBD"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Artículo 6o. La manifestación de las ideas no será objeto de ninguna inquisición judicial o administrativa, sino en el caso de que ataque a la moral, la vida privada o los derechos de terceros, provoque algún delito, o perturbe el orden público; el derecho de réplica será ejercido en los términos dispuestos por la ley. El derecho a la información será garantizado por el Estado.</w:t>
      </w:r>
    </w:p>
    <w:p w14:paraId="76487171"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eastAsia="Century Gothic" w:hAnsi="Century Gothic" w:cs="Century Gothic"/>
          <w:color w:val="000000"/>
          <w:sz w:val="18"/>
          <w:szCs w:val="18"/>
        </w:rPr>
        <w:t>(…)</w:t>
      </w:r>
    </w:p>
    <w:p w14:paraId="5434F4C2"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eastAsia="Century Gothic" w:hAnsi="Century Gothic" w:cs="Century Gothic"/>
          <w:color w:val="000000"/>
          <w:sz w:val="18"/>
          <w:szCs w:val="18"/>
        </w:rPr>
        <w:t>Artículo 7o. Es inviolable la libertad de difundir opiniones, información e ideas, a través de cualquier medio. No se puede restringir este derecho por vías o medios indirectos, tales como el abuso de controles oficiales o particulares, de papel para periódicos, de frecuencias radioeléctricas o de enseres y aparatos usados en la difusión de información o por cualesquiera otros medios y tecnologías de la información y comunicación encaminados a impedir la transmisión y circulación de ideas y opiniones.</w:t>
      </w:r>
    </w:p>
    <w:p w14:paraId="0E9EA84C"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eastAsia="Century Gothic" w:hAnsi="Century Gothic" w:cs="Century Gothic"/>
          <w:color w:val="000000"/>
          <w:sz w:val="18"/>
          <w:szCs w:val="18"/>
        </w:rPr>
        <w:t>Ninguna ley ni autoridad puede establecer la previa censura, ni coartar la libertad de difusión, que no tiene más límites que los previstos en el primer párrafo del artículo 6o. de esta Constitución. En ningún caso podrán secuestrarse los bienes utilizados para la difusión de información, opiniones e ideas, como instrumento del delito.</w:t>
      </w:r>
    </w:p>
  </w:footnote>
  <w:footnote w:id="132">
    <w:p w14:paraId="77AB1BB6"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Artículo 13. Libertad de Pensamiento y de Expresión 1. Toda persona tiene derecho a la libertad de pensamiento y de expresión. Este derecho comprende la libertad de buscar, recibir y difundir informaciones e ideas de toda índole, sin consideración de fronteras, ya sea oralmente, por escrito o en forma impresa o artística, o por cualquier otro procedimiento de su elección. (…)</w:t>
      </w:r>
    </w:p>
  </w:footnote>
  <w:footnote w:id="133">
    <w:p w14:paraId="7A53067B"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Artículo 19. 1. Nadie podrá ser molestado a causa de sus opiniones. 2. Toda persona tiene derecho a la libertad de expresión; este derecho comprende la libertad de buscar, recibir y difundir informaciones e ideas de toda índole, sin consideración de fronteras, ya sea oralmente, por escrito o en forma impresa o artística, o por cualquier otro procedimiento de su elección. (…)</w:t>
      </w:r>
    </w:p>
  </w:footnote>
  <w:footnote w:id="134">
    <w:p w14:paraId="5E2C9624"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Artículo 9o. No se podrá coartar el derecho de asociarse o reunirse pacíficamente con cualquier objeto lícito; pero solamente los ciudadanos de la República podrán hacerlo para tomar parte en los asuntos políticos del país. Ninguna reunión armada, tiene derecho de deliberar. </w:t>
      </w:r>
    </w:p>
    <w:p w14:paraId="6F88CDD9"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eastAsia="Century Gothic" w:hAnsi="Century Gothic" w:cs="Century Gothic"/>
          <w:color w:val="000000"/>
          <w:sz w:val="18"/>
          <w:szCs w:val="18"/>
        </w:rPr>
        <w:t>No se considerará ilegal, y no podrá ser disuelta una asamblea o reunión que tenga por objeto hacer una petición o presentar una protesta por algún acto, a una autoridad, si no se profieren injurias contra ésta, ni se hiciere uso de violencias o amenazas para intimidarla u obligarla a resolver en el sentido que se desee.</w:t>
      </w:r>
    </w:p>
  </w:footnote>
  <w:footnote w:id="135">
    <w:p w14:paraId="6E4DF7D0"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Artículo 15. Derecho de Reunión Se reconoce el derecho de reunión pacífica y sin armas. El ejercicio de tal derecho sólo puede estar sujeto a las restricciones previstas por la ley, que sean necesarias en una sociedad democrática, en interés de la seguridad nacional, de la seguridad o del orden públicos, o para proteger la salud o la moral públicas o los derechos o libertades de los demás.</w:t>
      </w:r>
    </w:p>
  </w:footnote>
  <w:footnote w:id="136">
    <w:p w14:paraId="4028DBAD"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Artículo 21. Se reconoce el derecho de reunión pacífica. El ejercicio de tal derecho sólo podrá estar sujeto a las restricciones previstas por la ley que sean necesarias en una sociedad democrática, en interés de la seguridad nacional, de la seguridad pública o del orden público, o para proteger la salud o la moral públicas o los derechos y libertades de los demás.</w:t>
      </w:r>
    </w:p>
  </w:footnote>
  <w:footnote w:id="137">
    <w:p w14:paraId="7A805216"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Registro digital: 34055; Asunto: ACCIÓN DE INCONSTITUCIONALIDAD 55/2024. Op. Cit., párrq. 38 a 42.</w:t>
      </w:r>
    </w:p>
  </w:footnote>
  <w:footnote w:id="138">
    <w:p w14:paraId="2B11E203" w14:textId="77777777" w:rsidR="00D5506A" w:rsidRPr="00961DB4" w:rsidRDefault="00D5506A"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CIDH. Relatoría Especial para la Libertad de Expresión. Libertad de Expresión e Internet. 31 de diciembre de 2013. OEA/Ser.L/V/II.; ONU. Informe del Relator Especial sobre la promoción y protección del derecho a la libertad de expresión Frank La Rue. 17 de abril de 2013. A/HRC/23/40, párr. 24; OACNUDH. El derecho a la privacidad en la era digital. 30 de Junio de 2014. A/HRC/27/37. Disponible en el siguiente enlace: </w:t>
      </w:r>
      <w:hyperlink r:id="rId66">
        <w:r w:rsidRPr="00961DB4">
          <w:rPr>
            <w:rFonts w:ascii="Century Gothic" w:eastAsia="Century Gothic" w:hAnsi="Century Gothic" w:cs="Century Gothic"/>
            <w:color w:val="467886"/>
            <w:sz w:val="18"/>
            <w:szCs w:val="18"/>
            <w:u w:val="single"/>
          </w:rPr>
          <w:t>https://docs.un.org/es/A/HRC/27/37</w:t>
        </w:r>
      </w:hyperlink>
      <w:r w:rsidRPr="00961DB4">
        <w:rPr>
          <w:rFonts w:ascii="Century Gothic" w:eastAsia="Century Gothic" w:hAnsi="Century Gothic" w:cs="Century Gothic"/>
          <w:color w:val="000000"/>
          <w:sz w:val="18"/>
          <w:szCs w:val="18"/>
        </w:rPr>
        <w:t xml:space="preserve">; ONU. Informe del Relator Especial sobre la promoción y protección del derecho a la libertad de expresión David Kaye. 22 de mayo de 2015. A/HRC/29/32. Disponible en el siguiente enlace: </w:t>
      </w:r>
      <w:hyperlink r:id="rId67">
        <w:r w:rsidRPr="00961DB4">
          <w:rPr>
            <w:rFonts w:ascii="Century Gothic" w:eastAsia="Century Gothic" w:hAnsi="Century Gothic" w:cs="Century Gothic"/>
            <w:color w:val="467886"/>
            <w:sz w:val="18"/>
            <w:szCs w:val="18"/>
            <w:u w:val="single"/>
          </w:rPr>
          <w:t>https://hchr.org.mx/puntal/wp/wp-content/uploads/2020/06/G1509588.pdf</w:t>
        </w:r>
      </w:hyperlink>
      <w:r w:rsidRPr="00961DB4">
        <w:rPr>
          <w:rFonts w:ascii="Century Gothic" w:eastAsia="Century Gothic" w:hAnsi="Century Gothic" w:cs="Century Gothic"/>
          <w:color w:val="000000"/>
          <w:sz w:val="18"/>
          <w:szCs w:val="18"/>
        </w:rPr>
        <w:t xml:space="preserve">; y TEDH. Caso “Rotaru vs. Rumania” Aplicación No. 28341/95. Sentencia del 04 de mayo de 2000. Párr. 42. Disponible en el siguiente enlace: </w:t>
      </w:r>
      <w:hyperlink r:id="rId68" w:anchor="%7B%22itemid%22:%5B%22001-58586%22%5D%7D">
        <w:r w:rsidRPr="00961DB4">
          <w:rPr>
            <w:rFonts w:ascii="Century Gothic" w:eastAsia="Century Gothic" w:hAnsi="Century Gothic" w:cs="Century Gothic"/>
            <w:color w:val="467886"/>
            <w:sz w:val="18"/>
            <w:szCs w:val="18"/>
            <w:u w:val="single"/>
          </w:rPr>
          <w:t>https://hudoc.echr.coe.int/spa#{%22itemid%22:[%22001-58586%22]}</w:t>
        </w:r>
      </w:hyperlink>
      <w:r w:rsidRPr="00961DB4">
        <w:rPr>
          <w:rFonts w:ascii="Century Gothic" w:eastAsia="Century Gothic" w:hAnsi="Century Gothic" w:cs="Century Gothic"/>
          <w:color w:val="000000"/>
          <w:sz w:val="18"/>
          <w:szCs w:val="18"/>
        </w:rPr>
        <w:t xml:space="preserve"> </w:t>
      </w:r>
    </w:p>
  </w:footnote>
  <w:footnote w:id="139">
    <w:p w14:paraId="74F6E975"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lang w:val="en-US"/>
        </w:rPr>
        <w:t xml:space="preserve"> Jason A. Martin &amp; Anthony L. Fargo, Anonymity as a Legal Right: Where and Why It Matters, 16 N.C. J.L. &amp; Tech. 311 (2015). </w:t>
      </w:r>
      <w:r w:rsidRPr="00961DB4">
        <w:rPr>
          <w:rFonts w:ascii="Century Gothic" w:eastAsia="Century Gothic" w:hAnsi="Century Gothic" w:cs="Century Gothic"/>
          <w:color w:val="000000"/>
          <w:sz w:val="18"/>
          <w:szCs w:val="18"/>
        </w:rPr>
        <w:t xml:space="preserve">Disponible en el siguiente enlace: </w:t>
      </w:r>
      <w:hyperlink r:id="rId69">
        <w:r w:rsidR="00001DF2" w:rsidRPr="00961DB4">
          <w:rPr>
            <w:rFonts w:ascii="Century Gothic" w:eastAsia="Century Gothic" w:hAnsi="Century Gothic" w:cs="Century Gothic"/>
            <w:color w:val="467886"/>
            <w:sz w:val="18"/>
            <w:szCs w:val="18"/>
            <w:u w:val="single"/>
          </w:rPr>
          <w:t>http://scholarship.law.unc.edu/ncjolt/vol16/iss2/3</w:t>
        </w:r>
      </w:hyperlink>
      <w:r w:rsidRPr="00961DB4">
        <w:rPr>
          <w:rFonts w:ascii="Century Gothic" w:eastAsia="Century Gothic" w:hAnsi="Century Gothic" w:cs="Century Gothic"/>
          <w:color w:val="000000"/>
          <w:sz w:val="18"/>
          <w:szCs w:val="18"/>
        </w:rPr>
        <w:t xml:space="preserve">; y, Suprema Corte de los Estados Unidos. Talley v. California, 362 U.S. 60 (1960), págs. 64 y 65. Disponible en el siguiente enlace: </w:t>
      </w:r>
      <w:hyperlink r:id="rId70">
        <w:r w:rsidR="00001DF2" w:rsidRPr="00961DB4">
          <w:rPr>
            <w:rFonts w:ascii="Century Gothic" w:eastAsia="Century Gothic" w:hAnsi="Century Gothic" w:cs="Century Gothic"/>
            <w:color w:val="467886"/>
            <w:sz w:val="18"/>
            <w:szCs w:val="18"/>
            <w:u w:val="single"/>
          </w:rPr>
          <w:t>https://supreme.justia.com/cases/federal/us/362/60/</w:t>
        </w:r>
      </w:hyperlink>
    </w:p>
  </w:footnote>
  <w:footnote w:id="140">
    <w:p w14:paraId="3F671E0C"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Suprema Corte de los Estados Unidos. </w:t>
      </w:r>
      <w:r w:rsidRPr="00961DB4">
        <w:rPr>
          <w:rFonts w:ascii="Century Gothic" w:eastAsia="Century Gothic" w:hAnsi="Century Gothic" w:cs="Century Gothic"/>
          <w:color w:val="000000"/>
          <w:sz w:val="18"/>
          <w:szCs w:val="18"/>
          <w:lang w:val="en-US"/>
        </w:rPr>
        <w:t xml:space="preserve">McIntyre v. Ohio Elections Comm'n, 514 U.S. 334 (1995), pág. 357. </w:t>
      </w:r>
      <w:r w:rsidRPr="00961DB4">
        <w:rPr>
          <w:rFonts w:ascii="Century Gothic" w:eastAsia="Century Gothic" w:hAnsi="Century Gothic" w:cs="Century Gothic"/>
          <w:color w:val="000000"/>
          <w:sz w:val="18"/>
          <w:szCs w:val="18"/>
        </w:rPr>
        <w:t xml:space="preserve">Disponible en el siguiente enlace: </w:t>
      </w:r>
      <w:hyperlink r:id="rId71">
        <w:r w:rsidR="00001DF2" w:rsidRPr="00961DB4">
          <w:rPr>
            <w:rFonts w:ascii="Century Gothic" w:eastAsia="Century Gothic" w:hAnsi="Century Gothic" w:cs="Century Gothic"/>
            <w:color w:val="467886"/>
            <w:sz w:val="18"/>
            <w:szCs w:val="18"/>
            <w:u w:val="single"/>
          </w:rPr>
          <w:t>https://supreme.justia.com/cases/federal/us/514/334/</w:t>
        </w:r>
      </w:hyperlink>
      <w:r w:rsidRPr="00961DB4">
        <w:rPr>
          <w:rFonts w:ascii="Century Gothic" w:eastAsia="Century Gothic" w:hAnsi="Century Gothic" w:cs="Century Gothic"/>
          <w:color w:val="000000"/>
          <w:sz w:val="18"/>
          <w:szCs w:val="18"/>
        </w:rPr>
        <w:t xml:space="preserve"> </w:t>
      </w:r>
    </w:p>
  </w:footnote>
  <w:footnote w:id="141">
    <w:p w14:paraId="71F8859A"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OACNUDH. El derecho a la privacidad en la era digital. 30 de Junio de 2014. A/HRC/27/37, párr. 20; CIDH. Relatoría Especial para la Libertad de Expresión. Libertad de Expresión e Internet. 31 de diciembre de 2013. OEA/Ser.L/V/II., párrs. 136.</w:t>
      </w:r>
    </w:p>
  </w:footnote>
  <w:footnote w:id="142">
    <w:p w14:paraId="662A5D94"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ONU. Informe del Relator Especial sobre la promoción y protección del derecho a la libertad de expresión David Kaye. 22 de mayo de 2015. A/HRC/29/32, párr. 51. </w:t>
      </w:r>
    </w:p>
  </w:footnote>
  <w:footnote w:id="143">
    <w:p w14:paraId="0254E1B1"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Ídem.</w:t>
      </w:r>
    </w:p>
  </w:footnote>
  <w:footnote w:id="144">
    <w:p w14:paraId="0D62FE7F"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Artículo 8. Garantías Judiciales (…) 2. Toda persona inculpada de delito tiene derecho a que se presuma su inocencia mientras no se establezca legalmente su culpabilidad. Durante el proceso, toda persona tiene derecho, en plena igualdad, a las siguientes garantías mínimas:</w:t>
      </w:r>
    </w:p>
  </w:footnote>
  <w:footnote w:id="145">
    <w:p w14:paraId="29CA14A6"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Artículo 14 (…) 2. Toda persona acusada de un delito tiene derecho a que se presuma su inocencia mientras no se pruebe su culpabilidad conforme a la ley.</w:t>
      </w:r>
    </w:p>
  </w:footnote>
  <w:footnote w:id="146">
    <w:p w14:paraId="4886EBDC"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Corte IDH. Caso Ricardo Canese vs Paraguay. Sentencia 31 de agosto de 2004. párr. 154. Disponible en el siguiente enlace: </w:t>
      </w:r>
      <w:hyperlink r:id="rId72">
        <w:r w:rsidR="00001DF2" w:rsidRPr="00961DB4">
          <w:rPr>
            <w:rFonts w:ascii="Century Gothic" w:eastAsia="Century Gothic" w:hAnsi="Century Gothic" w:cs="Century Gothic"/>
            <w:color w:val="467886"/>
            <w:sz w:val="18"/>
            <w:szCs w:val="18"/>
            <w:u w:val="single"/>
          </w:rPr>
          <w:t>https://www.corteidh.or.cr/docs/casos/articulos/seriec_111_esp.pdf</w:t>
        </w:r>
      </w:hyperlink>
      <w:r w:rsidRPr="00961DB4">
        <w:rPr>
          <w:rFonts w:ascii="Century Gothic" w:eastAsia="Century Gothic" w:hAnsi="Century Gothic" w:cs="Century Gothic"/>
          <w:color w:val="000000"/>
          <w:sz w:val="18"/>
          <w:szCs w:val="18"/>
        </w:rPr>
        <w:t xml:space="preserve"> </w:t>
      </w:r>
    </w:p>
  </w:footnote>
  <w:footnote w:id="147">
    <w:p w14:paraId="7B1342AA"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Artículo 19. (...).</w:t>
      </w:r>
    </w:p>
    <w:p w14:paraId="2CF17B9B"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eastAsia="Century Gothic" w:hAnsi="Century Gothic" w:cs="Century Gothic"/>
          <w:color w:val="000000"/>
          <w:sz w:val="18"/>
          <w:szCs w:val="18"/>
        </w:rPr>
        <w:t>El Ministerio Público sólo podrá solicitar al juez la prisión preventiva cuando otras medidas cautelares no sean suficientes para garantizar la comparecencia del imputado en el juicio, el desarrollo de la investigación, la protección de la víctima, de los testigos y de la comunidad, así como cuando el imputado esté siendo procesado o haya sido sentenciado previamente por la comisión de un delito doloso. El juez ordenará la prisión preventiva oficiosamente, en los casos de (...), extorsión, (...), secuestro (…), en los términos fijados por la ley.</w:t>
      </w:r>
    </w:p>
  </w:footnote>
  <w:footnote w:id="148">
    <w:p w14:paraId="471FA8EC" w14:textId="6B02D113"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Corte IDH. Caso García Rodríguez y otro vs. México. Sentencia de 25 de enero de 2023, párrq. 168</w:t>
      </w:r>
      <w:r w:rsidR="00DF1191" w:rsidRPr="00961DB4">
        <w:rPr>
          <w:rFonts w:ascii="Century Gothic" w:eastAsia="Century Gothic" w:hAnsi="Century Gothic" w:cs="Century Gothic"/>
          <w:color w:val="000000"/>
          <w:sz w:val="18"/>
          <w:szCs w:val="18"/>
        </w:rPr>
        <w:t xml:space="preserve"> al </w:t>
      </w:r>
      <w:r w:rsidRPr="00961DB4">
        <w:rPr>
          <w:rFonts w:ascii="Century Gothic" w:eastAsia="Century Gothic" w:hAnsi="Century Gothic" w:cs="Century Gothic"/>
          <w:color w:val="000000"/>
          <w:sz w:val="18"/>
          <w:szCs w:val="18"/>
        </w:rPr>
        <w:t>171</w:t>
      </w:r>
      <w:r w:rsidR="00DF1191" w:rsidRPr="00961DB4">
        <w:rPr>
          <w:rFonts w:ascii="Century Gothic" w:eastAsia="Century Gothic" w:hAnsi="Century Gothic" w:cs="Century Gothic"/>
          <w:color w:val="000000"/>
          <w:sz w:val="18"/>
          <w:szCs w:val="18"/>
        </w:rPr>
        <w:t xml:space="preserve">. </w:t>
      </w:r>
      <w:r w:rsidRPr="00961DB4">
        <w:rPr>
          <w:rFonts w:ascii="Century Gothic" w:eastAsia="Century Gothic" w:hAnsi="Century Gothic" w:cs="Century Gothic"/>
          <w:color w:val="000000"/>
          <w:sz w:val="18"/>
          <w:szCs w:val="18"/>
        </w:rPr>
        <w:t xml:space="preserve">Disponible en el siguiente enlace: </w:t>
      </w:r>
      <w:hyperlink r:id="rId73">
        <w:r w:rsidR="00001DF2" w:rsidRPr="00961DB4">
          <w:rPr>
            <w:rFonts w:ascii="Century Gothic" w:eastAsia="Century Gothic" w:hAnsi="Century Gothic" w:cs="Century Gothic"/>
            <w:color w:val="467886"/>
            <w:sz w:val="18"/>
            <w:szCs w:val="18"/>
            <w:u w:val="single"/>
          </w:rPr>
          <w:t>https://www.corteidh.or.cr/docs/casos/articulos/seriec_482_esp.pdf</w:t>
        </w:r>
      </w:hyperlink>
    </w:p>
  </w:footnote>
  <w:footnote w:id="149">
    <w:p w14:paraId="24A047BE"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UIF – SHCP - ABM. Comunicado No. 44. Op. Cit</w:t>
      </w:r>
      <w:r w:rsidRPr="00961DB4">
        <w:rPr>
          <w:rFonts w:ascii="Century Gothic" w:eastAsia="Century Gothic" w:hAnsi="Century Gothic" w:cs="Century Gothic"/>
          <w:i/>
          <w:iCs/>
          <w:color w:val="000000"/>
          <w:sz w:val="18"/>
          <w:szCs w:val="18"/>
        </w:rPr>
        <w:t>.</w:t>
      </w:r>
      <w:r w:rsidRPr="00961DB4">
        <w:rPr>
          <w:rFonts w:ascii="Century Gothic" w:eastAsia="Century Gothic" w:hAnsi="Century Gothic" w:cs="Century Gothic"/>
          <w:color w:val="000000"/>
          <w:sz w:val="18"/>
          <w:szCs w:val="18"/>
        </w:rPr>
        <w:t xml:space="preserve"> </w:t>
      </w:r>
    </w:p>
    <w:p w14:paraId="33ED0DFB"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i/>
          <w:iCs/>
          <w:color w:val="000000"/>
          <w:sz w:val="18"/>
          <w:szCs w:val="18"/>
        </w:rPr>
      </w:pPr>
      <w:r w:rsidRPr="00961DB4">
        <w:rPr>
          <w:rFonts w:ascii="Century Gothic" w:eastAsia="Century Gothic" w:hAnsi="Century Gothic" w:cs="Century Gothic"/>
          <w:i/>
          <w:iCs/>
          <w:color w:val="000000"/>
          <w:sz w:val="18"/>
          <w:szCs w:val="18"/>
        </w:rPr>
        <w:t>“El documento se sustenta en análisis estratégicos realizados por la UIF, mediante los cuales se identificaron patrones transaccionales asociados con esquemas de extorsión operados desde el interior de Centros Penitenciarios. Entre los hallazgos, destaca la recepción de transferencias electrónicas con conceptos recurrentes y la movilización acelerada de recursos a través de aplicaciones móviles, las cuales concentraron alrededor del 70% de las operaciones observadas en el caso analizado.”</w:t>
      </w:r>
    </w:p>
  </w:footnote>
  <w:footnote w:id="150">
    <w:p w14:paraId="283E1460" w14:textId="77777777" w:rsidR="00001DF2" w:rsidRPr="00961DB4" w:rsidRDefault="00000000" w:rsidP="00961DB4">
      <w:pPr>
        <w:spacing w:after="80" w:line="360" w:lineRule="auto"/>
        <w:jc w:val="both"/>
        <w:rPr>
          <w:rFonts w:ascii="Century Gothic" w:eastAsia="Century Gothic" w:hAnsi="Century Gothic" w:cs="Century Gothic"/>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sz w:val="18"/>
          <w:szCs w:val="18"/>
        </w:rPr>
        <w:t xml:space="preserve"> Corte IDH. Caso Escher y otros Vs. Brasil. Sentencia de 6 de julio de 2009. párr 114. Disponible en el siguiente enlace: </w:t>
      </w:r>
      <w:hyperlink r:id="rId74">
        <w:r w:rsidR="00001DF2" w:rsidRPr="00961DB4">
          <w:rPr>
            <w:rFonts w:ascii="Century Gothic" w:eastAsia="Century Gothic" w:hAnsi="Century Gothic" w:cs="Century Gothic"/>
            <w:color w:val="467886"/>
            <w:sz w:val="18"/>
            <w:szCs w:val="18"/>
            <w:u w:val="single"/>
          </w:rPr>
          <w:t>https://www.corteidh.or.cr/docs/casos/articulos/seriec_200_esp1.pdf</w:t>
        </w:r>
      </w:hyperlink>
    </w:p>
  </w:footnote>
  <w:footnote w:id="151">
    <w:p w14:paraId="70A07792"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Precedente (Sentencia); Registro digital: 29319; Asunto: AMPARO DIRECTO 507/2019; Décima Época; Fuente: Gaceta del Semanario Judicial de la Federación.; Libro 75, Febrero de 2020, Tomo III , página 2439; Instancia: Tribunales Colegiados de Circuito. Disponible en el siguiente enlace: </w:t>
      </w:r>
      <w:hyperlink r:id="rId75">
        <w:r w:rsidR="00001DF2" w:rsidRPr="00961DB4">
          <w:rPr>
            <w:rFonts w:ascii="Century Gothic" w:eastAsia="Century Gothic" w:hAnsi="Century Gothic" w:cs="Century Gothic"/>
            <w:color w:val="467886"/>
            <w:sz w:val="18"/>
            <w:szCs w:val="18"/>
            <w:u w:val="single"/>
          </w:rPr>
          <w:t>https://sjf2.scjn.gob.mx/detalle/ejecutoria/29319</w:t>
        </w:r>
      </w:hyperlink>
      <w:r w:rsidRPr="00961DB4">
        <w:rPr>
          <w:rFonts w:ascii="Century Gothic" w:eastAsia="Century Gothic" w:hAnsi="Century Gothic" w:cs="Century Gothic"/>
          <w:color w:val="000000"/>
          <w:sz w:val="18"/>
          <w:szCs w:val="18"/>
        </w:rPr>
        <w:t xml:space="preserve"> </w:t>
      </w:r>
    </w:p>
  </w:footnote>
  <w:footnote w:id="152">
    <w:p w14:paraId="57180DEE"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Registro digital: 2021682; Instancia: Tribunales Colegiados de Circuito; Décima Época; Materias(s): Constitucional; Tesis: V.3o.C.T.1 CS (10a.); Fuente: Gaceta del Semanario Judicial de la Federación. Libro 75, Febrero de 2020, Tomo III, página 2265; Tipo: Aislada</w:t>
      </w:r>
    </w:p>
    <w:p w14:paraId="50DB40E5"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b/>
          <w:bCs/>
          <w:color w:val="000000"/>
          <w:sz w:val="18"/>
          <w:szCs w:val="18"/>
        </w:rPr>
      </w:pPr>
      <w:r w:rsidRPr="00961DB4">
        <w:rPr>
          <w:rFonts w:ascii="Century Gothic" w:eastAsia="Century Gothic" w:hAnsi="Century Gothic" w:cs="Century Gothic"/>
          <w:b/>
          <w:bCs/>
          <w:color w:val="000000"/>
          <w:sz w:val="18"/>
          <w:szCs w:val="18"/>
        </w:rPr>
        <w:t>ACCESO AL CRÉDITO FINANCIERO. CONSTITUYE UN DERECHO HUMANO, POR LO QUE EL ESTADO MEXICANO DEBE GARANTIZAR LAS CONDICIONES MÍNIMAS PARA OBTENERLO.</w:t>
      </w:r>
    </w:p>
    <w:p w14:paraId="06557E71"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eastAsia="Century Gothic" w:hAnsi="Century Gothic" w:cs="Century Gothic"/>
          <w:color w:val="000000"/>
          <w:sz w:val="18"/>
          <w:szCs w:val="18"/>
        </w:rPr>
        <w:t>El artículo 1o. de la Constitución Política de los Estados Unidos Mexicanos establece que todas las autoridades del país, en el ámbito de sus competencias, están obligadas a proteger, garantizar, promover y respetar los derechos humanos de conformidad, entre otros, con el principio de progresividad. Por su parte, la Segunda Sala de la Suprema Corte de Justicia de la Nación, en la jurisprudencia 2a./J. 35/2019 (10a.), de título y subtítulo: "PRINCIPIO DE PROGRESIVIDAD DE LOS DERECHOS HUMANOS. SU NATURALEZA Y FUNCIÓN EN EL ESTADO MEXICANO.", sostuvo que el principio de progresividad de los derechos humanos se relaciona no sólo con la prohibición de regresividad del disfrute de los derechos fundamentales, sino también con la obligación positiva de promoverlos de manera progresiva y gradual, pues como lo señaló el Constituyente Permanente, el Estado Mexicano tiene el mandato constitucional de realizar todos los cambios y transformaciones necesarias en la estructura económica, social, política y cultural del país, de manera que se garantice que todas las personas puedan disfrutar de sus derechos humanos. Luego, es oportuno destacar que las Naciones Unidas y el Banco Mundial informan que alrededor de dos mil quinientos millones de personas no utilizan servicios financieros formales y que el setenta y cinco por ciento de los pobres no tienen cuenta bancaria. Y es por ello que la inclusión financiera es la clave para reducir la pobreza e impulsar la prosperidad; por lo que ambas instancias han promovido de manera constante el acceso al crédito (UN Department of Public Information, 2004; The World Bank, 2017) e, incluso, expertos lo han llegado a catalogar como un "derecho humano", toda vez que evita que la población económicamente más vulnerable y sin acceso al crédito, por falta de garantías, caiga en manos de los agiotistas que operan en la informalidad y sin control gubernamental alguno, es decir, de prestamistas que cobran intereses altísimos (usureros). En efecto, el Banco Mundial ha establecido que la inclusión financiera significa, para personas físicas y empresas, tener acceso a productos financieros útiles y asequibles que satisfagan sus necesidades –transacciones, pagos, ahorros, crédito y seguro– prestados de manera responsable y sostenible. Así, poder tener acceso a una cuenta de transacciones es un primer paso hacia una inclusión financiera más amplia, ya que permite a las personas guardar dinero, enviar y recibir pagos; además, éste también puede servir como puerta para obtener otros servicios financieros. Por ello, garantizar que las personas puedan tener acceso a una cuenta de transacciones es el centro de atención de la Iniciativa de Acceso Universal a Servicios Financieros para 2020 (UFA2020) del Grupo Banco Mundial. En ese orden de ideas, se considera que el acceso a servicios financieros facilita la vida cotidiana y ayuda a las familias y a las empresas a planificar, desde los objetivos a largo plazo hasta las emergencias imprevistas. Es más probable que, en calidad de titulares de cuentas, las personas usen otros servicios financieros, como créditos y seguros, para iniciar y ampliar negocios, invertir en educación o salud, gestionar riesgos y sortear crisis financieras, todo lo cual puede mejorar su calidad general de vida. Por tanto, de acuerdo con el artículo 1o. constitucional, que tutela el principio de progresividad, el Estado Mexicano debe garantizar las condiciones mínimas para que los particulares tengan acceso al crédito financiero, al constituirse como un derecho humano.</w:t>
      </w:r>
    </w:p>
  </w:footnote>
  <w:footnote w:id="153">
    <w:p w14:paraId="18E06216"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Registro digital: 27095; Asunto: AMPARO DIRECTO EN REVISIÓN 2425/2015; Décima Época; Fuente: Gaceta del Semanario Judicial de la Federación. Libro 42, Mayo de 2017, Tomo I , página 616; Instancia: Segunda Sala. Disponible en el siguiente enlace: </w:t>
      </w:r>
      <w:hyperlink r:id="rId76">
        <w:r w:rsidR="00001DF2" w:rsidRPr="00961DB4">
          <w:rPr>
            <w:rFonts w:ascii="Century Gothic" w:eastAsia="Century Gothic" w:hAnsi="Century Gothic" w:cs="Century Gothic"/>
            <w:color w:val="467886"/>
            <w:sz w:val="18"/>
            <w:szCs w:val="18"/>
            <w:u w:val="single"/>
          </w:rPr>
          <w:t>https://sjf2.scjn.gob.mx/detalle/ejecutoria/27095</w:t>
        </w:r>
      </w:hyperlink>
      <w:r w:rsidRPr="00961DB4">
        <w:rPr>
          <w:rFonts w:ascii="Century Gothic" w:eastAsia="Century Gothic" w:hAnsi="Century Gothic" w:cs="Century Gothic"/>
          <w:color w:val="000000"/>
          <w:sz w:val="18"/>
          <w:szCs w:val="18"/>
        </w:rPr>
        <w:t xml:space="preserve"> </w:t>
      </w:r>
    </w:p>
  </w:footnote>
  <w:footnote w:id="154">
    <w:p w14:paraId="731F9FD6"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Registro digital: 2019325; Instancia: Segunda Sala; Décima Época; Materias(s): Constitucional, Común; Tesis: 2a./J. 35/2019 (10a.); Fuente: Gaceta del Semanario Judicial de la Federación. Libro 63, Febrero de 2019, Tomo I, página 980; Tipo: Jurisprudencia</w:t>
      </w:r>
    </w:p>
    <w:p w14:paraId="1F43B746"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b/>
          <w:bCs/>
          <w:color w:val="000000"/>
          <w:sz w:val="18"/>
          <w:szCs w:val="18"/>
        </w:rPr>
      </w:pPr>
      <w:r w:rsidRPr="00961DB4">
        <w:rPr>
          <w:rFonts w:ascii="Century Gothic" w:eastAsia="Century Gothic" w:hAnsi="Century Gothic" w:cs="Century Gothic"/>
          <w:b/>
          <w:bCs/>
          <w:color w:val="000000"/>
          <w:sz w:val="18"/>
          <w:szCs w:val="18"/>
        </w:rPr>
        <w:t>PRINCIPIO DE PROGRESIVIDAD DE LOS DERECHOS HUMANOS. SU NATURALEZA Y FUNCIÓN EN EL ESTADO MEXICANO.</w:t>
      </w:r>
    </w:p>
    <w:p w14:paraId="03DACCE1"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eastAsia="Century Gothic" w:hAnsi="Century Gothic" w:cs="Century Gothic"/>
          <w:color w:val="000000"/>
          <w:sz w:val="18"/>
          <w:szCs w:val="18"/>
        </w:rPr>
        <w:t>El principio de progresividad que rige en materia de los derechos humanos implica tanto gradualidad como progreso. La gradualidad se refiere a que, generalmente, la efectividad de los derechos humanos no se logra de manera inmediata, sino que conlleva todo un proceso que supone definir metas a corto, mediano y largo plazos. Por su parte, el progreso implica que el disfrute de los derechos siempre debe mejorar. En tal sentido, el principio de progresividad de los derechos humanos se relaciona no sólo con la prohibición de regresividad del disfrute de los derechos fundamentales, sino también con la obligación positiva de promoverlos de manera progresiva y gradual, pues como lo señaló el Constituyente Permanente, el Estado mexicano tiene el mandato constitucional de realizar todos los cambios y transformaciones necesarias en la estructura económica, social, política y cultural del país, de manera que se garantice que todas las personas puedan disfrutar de sus derechos humanos. Por tanto, el principio aludido exige a todas las autoridades del Estado mexicano, en el ámbito de su competencia, incrementar el grado de tutela en la promoción, respeto, protección y garantía de los derechos humanos y también les impide, en virtud de su expresión de no regresividad, adoptar medidas que sin plena justificación constitucional disminuyan el nivel de la protección a los derechos humanos de quienes se someten al orden jurídico del Estado mexicano.</w:t>
      </w:r>
    </w:p>
    <w:p w14:paraId="7BF27C0C" w14:textId="77777777" w:rsidR="00001DF2" w:rsidRPr="00961DB4" w:rsidRDefault="00001DF2"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p>
  </w:footnote>
  <w:footnote w:id="155">
    <w:p w14:paraId="208DCDED"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Artículo 52.- Las instituciones de crédito podrán permitir el uso de la firma electrónica avanzada o cualquier otra forma de autenticación para pactar la celebración de sus operaciones y la prestación de servicios con el público mediante el uso de equipos, medios electrónicos, ópticos o de cualquier otra tecnología, sistemas automatizados de procesamiento de datos y redes de telecomunicaciones, ya sean privados o públicos, y establecerán en los contratos respectivos las bases para determinar lo siguiente:</w:t>
      </w:r>
    </w:p>
    <w:p w14:paraId="7B21B06C"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eastAsia="Century Gothic" w:hAnsi="Century Gothic" w:cs="Century Gothic"/>
          <w:color w:val="000000"/>
          <w:sz w:val="18"/>
          <w:szCs w:val="18"/>
        </w:rPr>
        <w:t>(…)</w:t>
      </w:r>
    </w:p>
    <w:p w14:paraId="567A0955"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eastAsia="Century Gothic" w:hAnsi="Century Gothic" w:cs="Century Gothic"/>
          <w:color w:val="000000"/>
          <w:sz w:val="18"/>
          <w:szCs w:val="18"/>
        </w:rPr>
        <w:t>La instalación y el uso de los equipos, medios y formas de autenticación señalados en el primer párrafo de este artículo se sujetarán a las reglas de carácter general que emita la Comisión Nacional Bancaria y de Valores, sin perjuicio de las facultades con que cuenta el Banco de México para regular las operaciones que efectúen las instituciones de crédito relacionadas con los sistemas de pagos y las de transferencias de fondos en términos de su ley.</w:t>
      </w:r>
    </w:p>
  </w:footnote>
  <w:footnote w:id="156">
    <w:p w14:paraId="22C4E383"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SHCP. CNBV. DISPOSICIONES DE CARÁCTER GENERAL APLICABLES A LAS INSTITUCIONES DE CRÉDITO (CIRCULAR ÚNICA DE BANCOS). Disponible en el siguiente enlace: </w:t>
      </w:r>
      <w:hyperlink r:id="rId77">
        <w:r w:rsidR="00001DF2" w:rsidRPr="00961DB4">
          <w:rPr>
            <w:rFonts w:ascii="Century Gothic" w:eastAsia="Century Gothic" w:hAnsi="Century Gothic" w:cs="Century Gothic"/>
            <w:color w:val="467886"/>
            <w:sz w:val="18"/>
            <w:szCs w:val="18"/>
            <w:u w:val="single"/>
          </w:rPr>
          <w:t>https://www.cnbv.gob.mx/Normatividad/Disposiciones%20de%20car%C3%A1cter%20general%20aplicables%20a%20las%20instituciones%20de%20cr%C3%A9dito.pdf</w:t>
        </w:r>
      </w:hyperlink>
      <w:r w:rsidRPr="00961DB4">
        <w:rPr>
          <w:rFonts w:ascii="Century Gothic" w:eastAsia="Century Gothic" w:hAnsi="Century Gothic" w:cs="Century Gothic"/>
          <w:color w:val="000000"/>
          <w:sz w:val="18"/>
          <w:szCs w:val="18"/>
        </w:rPr>
        <w:t xml:space="preserve"> </w:t>
      </w:r>
    </w:p>
  </w:footnote>
  <w:footnote w:id="157">
    <w:p w14:paraId="7658E610"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FRANCO, Fernando. </w:t>
      </w:r>
      <w:r w:rsidRPr="00961DB4">
        <w:rPr>
          <w:rFonts w:ascii="Century Gothic" w:eastAsia="Century Gothic" w:hAnsi="Century Gothic" w:cs="Century Gothic"/>
          <w:i/>
          <w:iCs/>
          <w:color w:val="000000"/>
          <w:sz w:val="18"/>
          <w:szCs w:val="18"/>
        </w:rPr>
        <w:t>Si no vinculas tu número celular a la CURP, ¿tu app bancaria dejará de funcionar? Esto dice la ABM</w:t>
      </w:r>
      <w:r w:rsidRPr="00961DB4">
        <w:rPr>
          <w:rFonts w:ascii="Century Gothic" w:eastAsia="Century Gothic" w:hAnsi="Century Gothic" w:cs="Century Gothic"/>
          <w:color w:val="000000"/>
          <w:sz w:val="18"/>
          <w:szCs w:val="18"/>
        </w:rPr>
        <w:t xml:space="preserve">. El Universal. 15 de junio de 2026. Disponible en el siguiente enlace: </w:t>
      </w:r>
      <w:hyperlink r:id="rId78">
        <w:r w:rsidR="00001DF2" w:rsidRPr="00961DB4">
          <w:rPr>
            <w:rFonts w:ascii="Century Gothic" w:eastAsia="Century Gothic" w:hAnsi="Century Gothic" w:cs="Century Gothic"/>
            <w:color w:val="467886"/>
            <w:sz w:val="18"/>
            <w:szCs w:val="18"/>
            <w:u w:val="single"/>
          </w:rPr>
          <w:t>https://www.eleconomista.com.mx/finanzaspersonales/vinculas-numero-celular-curp-app-bancaria-dejara-funcionar-esto-dice-abm-20260615-818435.html</w:t>
        </w:r>
      </w:hyperlink>
      <w:r w:rsidRPr="00961DB4">
        <w:rPr>
          <w:rFonts w:ascii="Century Gothic" w:eastAsia="Century Gothic" w:hAnsi="Century Gothic" w:cs="Century Gothic"/>
          <w:color w:val="000000"/>
          <w:sz w:val="18"/>
          <w:szCs w:val="18"/>
        </w:rPr>
        <w:t xml:space="preserve"> </w:t>
      </w:r>
    </w:p>
  </w:footnote>
  <w:footnote w:id="158">
    <w:p w14:paraId="4B7EECF9" w14:textId="6A96AD99"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INEGI. Encuesta Nacional sobre Disponibilidad y Uso de Tecnologías de la Información en los Hogares. </w:t>
      </w:r>
      <w:r w:rsidR="00497D40" w:rsidRPr="00961DB4">
        <w:rPr>
          <w:rFonts w:ascii="Century Gothic" w:eastAsia="Century Gothic" w:hAnsi="Century Gothic" w:cs="Century Gothic"/>
          <w:color w:val="000000"/>
          <w:sz w:val="18"/>
          <w:szCs w:val="18"/>
        </w:rPr>
        <w:t xml:space="preserve">Comunicado de prensa 32/26. </w:t>
      </w:r>
      <w:r w:rsidRPr="00961DB4">
        <w:rPr>
          <w:rFonts w:ascii="Century Gothic" w:eastAsia="Century Gothic" w:hAnsi="Century Gothic" w:cs="Century Gothic"/>
          <w:color w:val="000000"/>
          <w:sz w:val="18"/>
          <w:szCs w:val="18"/>
        </w:rPr>
        <w:t xml:space="preserve">16 de junio de 2026. Disponible en el siguiente enlace: </w:t>
      </w:r>
      <w:hyperlink r:id="rId79">
        <w:r w:rsidR="00001DF2" w:rsidRPr="00961DB4">
          <w:rPr>
            <w:rFonts w:ascii="Century Gothic" w:eastAsia="Century Gothic" w:hAnsi="Century Gothic" w:cs="Century Gothic"/>
            <w:color w:val="467886"/>
            <w:sz w:val="18"/>
            <w:szCs w:val="18"/>
            <w:u w:val="single"/>
          </w:rPr>
          <w:t>https://en.www.inegi.org.mx/contenidos/saladeprensa/boletines/2026/endutih/ENDUTIH_25.pdf</w:t>
        </w:r>
      </w:hyperlink>
      <w:r w:rsidRPr="00961DB4">
        <w:rPr>
          <w:rFonts w:ascii="Century Gothic" w:eastAsia="Century Gothic" w:hAnsi="Century Gothic" w:cs="Century Gothic"/>
          <w:color w:val="000000"/>
          <w:sz w:val="18"/>
          <w:szCs w:val="18"/>
        </w:rPr>
        <w:t xml:space="preserve"> </w:t>
      </w:r>
    </w:p>
  </w:footnote>
  <w:footnote w:id="159">
    <w:p w14:paraId="5F55DB5B"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FRANCO, Fernando. Op. Cit.</w:t>
      </w:r>
    </w:p>
  </w:footnote>
  <w:footnote w:id="160">
    <w:p w14:paraId="7BCD1629"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Ver: Registro digital: 22636; Asunto: AMPARO DIRECTO 6/2008; Novena Época; Fuente: Semanario Judicial de la Federación y su Gaceta. Tomo XXXIII, Enero de 2011 , página 1707; Instancia: Pleno. Disponible en el siguiente enlace: </w:t>
      </w:r>
      <w:hyperlink r:id="rId80">
        <w:r w:rsidR="00001DF2" w:rsidRPr="00961DB4">
          <w:rPr>
            <w:rFonts w:ascii="Century Gothic" w:eastAsia="Century Gothic" w:hAnsi="Century Gothic" w:cs="Century Gothic"/>
            <w:color w:val="467886"/>
            <w:sz w:val="18"/>
            <w:szCs w:val="18"/>
            <w:u w:val="single"/>
          </w:rPr>
          <w:t>https://sjf2.scjn.gob.mx/detalle/ejecutoria/22636</w:t>
        </w:r>
      </w:hyperlink>
      <w:r w:rsidRPr="00961DB4">
        <w:rPr>
          <w:rFonts w:ascii="Century Gothic" w:eastAsia="Century Gothic" w:hAnsi="Century Gothic" w:cs="Century Gothic"/>
          <w:color w:val="000000"/>
          <w:sz w:val="18"/>
          <w:szCs w:val="18"/>
        </w:rPr>
        <w:t xml:space="preserve">, que dio origen a la siguiente tesis, entre otras, de rubro: DERECHO AL LIBRE DESARROLLO DE LA PERSONALIDAD. ASPECTOS QUE COMPRENDE; Tesis: P. LXVI/2009; Instancia: Pleno; Registro digital: 165822. Disponible en el siguiente enlace: </w:t>
      </w:r>
      <w:hyperlink r:id="rId81">
        <w:r w:rsidR="00001DF2" w:rsidRPr="00961DB4">
          <w:rPr>
            <w:rFonts w:ascii="Century Gothic" w:eastAsia="Century Gothic" w:hAnsi="Century Gothic" w:cs="Century Gothic"/>
            <w:color w:val="467886"/>
            <w:sz w:val="18"/>
            <w:szCs w:val="18"/>
            <w:u w:val="single"/>
          </w:rPr>
          <w:t>https://sjf2.scjn.gob.mx/detalle/tesis/165822</w:t>
        </w:r>
      </w:hyperlink>
      <w:r w:rsidRPr="00961DB4">
        <w:rPr>
          <w:rFonts w:ascii="Century Gothic" w:eastAsia="Century Gothic" w:hAnsi="Century Gothic" w:cs="Century Gothic"/>
          <w:color w:val="000000"/>
          <w:sz w:val="18"/>
          <w:szCs w:val="18"/>
        </w:rPr>
        <w:t xml:space="preserve"> </w:t>
      </w:r>
    </w:p>
    <w:p w14:paraId="05D81683" w14:textId="77777777" w:rsidR="00001DF2" w:rsidRPr="00961DB4" w:rsidRDefault="00001DF2"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p>
  </w:footnote>
  <w:footnote w:id="161">
    <w:p w14:paraId="4CE5F2BE" w14:textId="0154C2D8"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AMPARO DIRECTO EN REVISIÓN 2547/2020. Primera Sala de la Suprema Corte de Justicia de la Nación. Ministro Ponente Jorge Mario Pardo Rebolledo. Sesionado el 17 de febrero de 2021, publicado el 30 de marzo de 2021, pp. 45 y 46. Disponible en el siguiente enlace: </w:t>
      </w:r>
      <w:hyperlink r:id="rId82" w:history="1">
        <w:r w:rsidR="004F3C91" w:rsidRPr="00961DB4">
          <w:rPr>
            <w:rStyle w:val="Hipervnculo"/>
            <w:rFonts w:ascii="Century Gothic" w:eastAsia="Century Gothic" w:hAnsi="Century Gothic" w:cs="Century Gothic"/>
            <w:sz w:val="18"/>
            <w:szCs w:val="18"/>
          </w:rPr>
          <w:t>https://www2.scjn.gob.mx/juridica/engroses/1/2020/10/2_274520_5757_firmado.pdf</w:t>
        </w:r>
      </w:hyperlink>
      <w:r w:rsidR="004F3C91" w:rsidRPr="00961DB4">
        <w:rPr>
          <w:rFonts w:ascii="Century Gothic" w:eastAsia="Century Gothic" w:hAnsi="Century Gothic" w:cs="Century Gothic"/>
          <w:color w:val="000000"/>
          <w:sz w:val="18"/>
          <w:szCs w:val="18"/>
        </w:rPr>
        <w:t xml:space="preserve"> </w:t>
      </w:r>
    </w:p>
  </w:footnote>
  <w:footnote w:id="162">
    <w:p w14:paraId="2C9E3AEA" w14:textId="77777777"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Corte IDH. Caso Loayza Tamayo Vs. Perú. Sentencia de 27 de noviembre de 1998, párrq. 147 y 148. Disponible en el siguiente enlace: </w:t>
      </w:r>
      <w:hyperlink r:id="rId83">
        <w:r w:rsidR="00001DF2" w:rsidRPr="00961DB4">
          <w:rPr>
            <w:rFonts w:ascii="Century Gothic" w:eastAsia="Century Gothic" w:hAnsi="Century Gothic" w:cs="Century Gothic"/>
            <w:color w:val="467886"/>
            <w:sz w:val="18"/>
            <w:szCs w:val="18"/>
            <w:u w:val="single"/>
          </w:rPr>
          <w:t>https://corteidh.scjn.gob.mx/buscador/doc?doc=casos_sentencias/CasoLoayzaTamayoVsPeru_ReparacionesCostas.htm</w:t>
        </w:r>
      </w:hyperlink>
      <w:r w:rsidRPr="00961DB4">
        <w:rPr>
          <w:rFonts w:ascii="Century Gothic" w:eastAsia="Century Gothic" w:hAnsi="Century Gothic" w:cs="Century Gothic"/>
          <w:color w:val="000000"/>
          <w:sz w:val="18"/>
          <w:szCs w:val="18"/>
        </w:rPr>
        <w:t xml:space="preserve"> </w:t>
      </w:r>
    </w:p>
  </w:footnote>
  <w:footnote w:id="163">
    <w:p w14:paraId="4D46FF52" w14:textId="19E29809" w:rsidR="00001DF2" w:rsidRPr="00961DB4" w:rsidRDefault="00000000" w:rsidP="00961DB4">
      <w:pPr>
        <w:pBdr>
          <w:top w:val="nil"/>
          <w:left w:val="nil"/>
          <w:bottom w:val="nil"/>
          <w:right w:val="nil"/>
          <w:between w:val="nil"/>
        </w:pBdr>
        <w:spacing w:after="80" w:line="240" w:lineRule="auto"/>
        <w:jc w:val="both"/>
        <w:rPr>
          <w:rFonts w:ascii="Century Gothic" w:eastAsia="Century Gothic" w:hAnsi="Century Gothic" w:cs="Century Gothic"/>
          <w:color w:val="000000"/>
          <w:sz w:val="18"/>
          <w:szCs w:val="18"/>
        </w:rPr>
      </w:pPr>
      <w:r w:rsidRPr="00961DB4">
        <w:rPr>
          <w:rFonts w:ascii="Century Gothic" w:hAnsi="Century Gothic"/>
          <w:sz w:val="18"/>
          <w:szCs w:val="18"/>
          <w:vertAlign w:val="superscript"/>
        </w:rPr>
        <w:footnoteRef/>
      </w:r>
      <w:r w:rsidRPr="00961DB4">
        <w:rPr>
          <w:rFonts w:ascii="Century Gothic" w:eastAsia="Century Gothic" w:hAnsi="Century Gothic" w:cs="Century Gothic"/>
          <w:color w:val="000000"/>
          <w:sz w:val="18"/>
          <w:szCs w:val="18"/>
        </w:rPr>
        <w:t xml:space="preserve"> Omar H Garcia Harfuch [@OHarfuch]. </w:t>
      </w:r>
      <w:r w:rsidR="00383FAE" w:rsidRPr="00961DB4">
        <w:rPr>
          <w:rFonts w:ascii="Century Gothic" w:eastAsia="Century Gothic" w:hAnsi="Century Gothic" w:cs="Century Gothic"/>
          <w:color w:val="000000"/>
          <w:sz w:val="18"/>
          <w:szCs w:val="18"/>
        </w:rPr>
        <w:t>Op. Cit.</w:t>
      </w:r>
    </w:p>
  </w:footnote>
  <w:footnote w:id="164">
    <w:p w14:paraId="43686288" w14:textId="517786A9" w:rsidR="004352FB" w:rsidRPr="00961DB4" w:rsidRDefault="004352FB" w:rsidP="00961DB4">
      <w:pPr>
        <w:pStyle w:val="Textonotapie"/>
        <w:spacing w:after="80"/>
        <w:jc w:val="both"/>
        <w:rPr>
          <w:rFonts w:ascii="Century Gothic" w:hAnsi="Century Gothic"/>
          <w:sz w:val="18"/>
          <w:szCs w:val="18"/>
        </w:rPr>
      </w:pPr>
      <w:r w:rsidRPr="00961DB4">
        <w:rPr>
          <w:rStyle w:val="Refdenotaalpie"/>
          <w:rFonts w:ascii="Century Gothic" w:hAnsi="Century Gothic"/>
          <w:sz w:val="18"/>
          <w:szCs w:val="18"/>
        </w:rPr>
        <w:footnoteRef/>
      </w:r>
      <w:r w:rsidRPr="00961DB4">
        <w:rPr>
          <w:rFonts w:ascii="Century Gothic" w:hAnsi="Century Gothic"/>
          <w:sz w:val="18"/>
          <w:szCs w:val="18"/>
        </w:rPr>
        <w:t xml:space="preserve"> Registro digital: 2028891; Instancia: Primera Sala; Undécima Época; Materias(s): Penal, Constitucional;</w:t>
      </w:r>
      <w:r w:rsidR="00CD67EE" w:rsidRPr="00961DB4">
        <w:rPr>
          <w:rFonts w:ascii="Century Gothic" w:hAnsi="Century Gothic"/>
          <w:sz w:val="18"/>
          <w:szCs w:val="18"/>
        </w:rPr>
        <w:t xml:space="preserve"> </w:t>
      </w:r>
      <w:r w:rsidRPr="00961DB4">
        <w:rPr>
          <w:rFonts w:ascii="Century Gothic" w:hAnsi="Century Gothic"/>
          <w:sz w:val="18"/>
          <w:szCs w:val="18"/>
        </w:rPr>
        <w:t>Tesis: 1a./J. 98/2024 (11a.); Fuente: Gaceta del Semanario Judicial de la Federación. Libro 37, Mayo de 2024, Tomo II, página 1726; Tipo: Jurisprudencia</w:t>
      </w:r>
    </w:p>
    <w:p w14:paraId="1698C2BE" w14:textId="77777777" w:rsidR="004352FB" w:rsidRPr="00961DB4" w:rsidRDefault="004352FB" w:rsidP="00961DB4">
      <w:pPr>
        <w:pStyle w:val="Textonotapie"/>
        <w:spacing w:after="80"/>
        <w:jc w:val="both"/>
        <w:rPr>
          <w:rFonts w:ascii="Century Gothic" w:hAnsi="Century Gothic"/>
          <w:sz w:val="18"/>
          <w:szCs w:val="18"/>
        </w:rPr>
      </w:pPr>
      <w:r w:rsidRPr="00961DB4">
        <w:rPr>
          <w:rFonts w:ascii="Century Gothic" w:hAnsi="Century Gothic"/>
          <w:sz w:val="18"/>
          <w:szCs w:val="18"/>
        </w:rPr>
        <w:t>PERSPECTIVA DE INTERSECCIONALIDAD. EL ÓRGANO JURISDICCIONAL DEBE ANALIZAR LOS MÚLTIPLES FACTORES DE VULNERABILIDAD DE LA VÍCTIMA CUANDO SE ALEGUE QUE LA MUERTE DE UNA MUJER FUE DE FORMA VIOLENTA.</w:t>
      </w:r>
    </w:p>
    <w:p w14:paraId="7D73A380" w14:textId="77777777" w:rsidR="004352FB" w:rsidRPr="00961DB4" w:rsidRDefault="004352FB" w:rsidP="00961DB4">
      <w:pPr>
        <w:pStyle w:val="Textonotapie"/>
        <w:spacing w:after="80"/>
        <w:jc w:val="both"/>
        <w:rPr>
          <w:rFonts w:ascii="Century Gothic" w:hAnsi="Century Gothic"/>
          <w:sz w:val="18"/>
          <w:szCs w:val="18"/>
        </w:rPr>
      </w:pPr>
      <w:r w:rsidRPr="00961DB4">
        <w:rPr>
          <w:rFonts w:ascii="Century Gothic" w:hAnsi="Century Gothic"/>
          <w:sz w:val="18"/>
          <w:szCs w:val="18"/>
        </w:rPr>
        <w:t>Hechos: Una persona fue condenada por el delito de homicidio cometido en agravio de una mujer, quien al momento de su muerte tenía diecinueve años y era estudiante. El Tribunal de Alzada modificó la sentencia sólo por la individualización de la pena, por lo que la madre de la víctima (víctima indirecta) promovió amparo directo en el que argumentó que ese órgano jurisdiccional no cumplió con la obligación de juzgar con perspectiva de género, lo que impidió reclasificar el delito a feminicidio. El Tribunal Colegiado de Circuito del conocimiento negó el amparo porque no advirtió una situación de violencia o vulnerabilidad que, por cuestiones de género, ameritara un método destinado a remediar un efecto discriminatorio por razón del sexo al que pertenece la víctima. Contra esta resolución la quejosa interpuso el recurso de revisión.</w:t>
      </w:r>
    </w:p>
    <w:p w14:paraId="58545358" w14:textId="77777777" w:rsidR="004352FB" w:rsidRPr="00961DB4" w:rsidRDefault="004352FB" w:rsidP="00961DB4">
      <w:pPr>
        <w:pStyle w:val="Textonotapie"/>
        <w:spacing w:after="80"/>
        <w:jc w:val="both"/>
        <w:rPr>
          <w:rFonts w:ascii="Century Gothic" w:hAnsi="Century Gothic"/>
          <w:sz w:val="18"/>
          <w:szCs w:val="18"/>
        </w:rPr>
      </w:pPr>
      <w:r w:rsidRPr="00961DB4">
        <w:rPr>
          <w:rFonts w:ascii="Century Gothic" w:hAnsi="Century Gothic"/>
          <w:sz w:val="18"/>
          <w:szCs w:val="18"/>
        </w:rPr>
        <w:t>Criterio jurídico: La Primera Sala de la Suprema Corte de Justicia de la Nación determina que la interseccionalidad es parte de las obligaciones jurisdiccionales en casos donde se alegue que la muerte de una mujer fue de forma violenta. Ello implica que deben tomarse en cuenta los elementos de vulnerabilidad del caso, sin que estas intersecciones puedan ser argumentos para desaplicar los estándares en materia de derechos humanos y género.</w:t>
      </w:r>
    </w:p>
    <w:p w14:paraId="360E3BE6" w14:textId="77777777" w:rsidR="004352FB" w:rsidRPr="00961DB4" w:rsidRDefault="004352FB" w:rsidP="00961DB4">
      <w:pPr>
        <w:pStyle w:val="Textonotapie"/>
        <w:spacing w:after="80"/>
        <w:jc w:val="both"/>
        <w:rPr>
          <w:rFonts w:ascii="Century Gothic" w:hAnsi="Century Gothic"/>
          <w:sz w:val="18"/>
          <w:szCs w:val="18"/>
        </w:rPr>
      </w:pPr>
      <w:r w:rsidRPr="00961DB4">
        <w:rPr>
          <w:rFonts w:ascii="Century Gothic" w:hAnsi="Century Gothic"/>
          <w:sz w:val="18"/>
          <w:szCs w:val="18"/>
        </w:rPr>
        <w:t>Justificación: La perspectiva interseccional es la confluencia de múltiples factores de vulnerabilidad y riesgos de discriminación. Es una forma de ilustrar las diferentes manifestaciones y dimensiones en las que esos elementos afectan la experiencia de vida de ciertos grupos, en la que se incluyen todos los obstáculos para dar una respuesta integral a ellos, por lo que debe referirse en los casos donde se advierte que una de las partes tiene en su identidad algún elemento que propicia su vulnerabilidad. Por ejemplo, que sea un hombre con orígenes indígenas, una adolescente con discapacidad o en los casos relacionados con violencia de género. Es decir, si se identificó que una víctima formaba parte de cierto grupo etario, profesión, orientación sexual, sexo, discapacidad, entre otros, la argumentación debe reconocer estos obstáculos. Cuando la interseccionalidad se convierte en un método de análisis, se tiene un acercamiento más crítico a las experiencias de los grupos que históricamente fueron invisibilizados y ayuda a erradicar los obstáculos para acceder a una justicia en un plano de equidad. La forma en que se complementa con la perspectiva de género en las decisiones judiciales inicia con el reconocimiento de esos factores para que haya un acceso integral a la justicia. En los casos donde se alega que la muerte de una mujer fue de forma violenta, el análisis de los puntos que intersecaron en ese grupo vulnerable es parte de las obligaciones de la autoridad, ya que conforme a las obligaciones constitucionales y convencionales en la materia, tanto la visión de género como la interseccional, son obligatorias.</w:t>
      </w:r>
    </w:p>
  </w:footnote>
  <w:footnote w:id="165">
    <w:p w14:paraId="5B1CB3BB" w14:textId="77777777" w:rsidR="004352FB" w:rsidRPr="00961DB4" w:rsidRDefault="004352FB" w:rsidP="00961DB4">
      <w:pPr>
        <w:pStyle w:val="Textonotapie"/>
        <w:spacing w:after="80"/>
        <w:jc w:val="both"/>
        <w:rPr>
          <w:rFonts w:ascii="Century Gothic" w:hAnsi="Century Gothic"/>
          <w:sz w:val="18"/>
          <w:szCs w:val="18"/>
        </w:rPr>
      </w:pPr>
      <w:r w:rsidRPr="00961DB4">
        <w:rPr>
          <w:rStyle w:val="Refdenotaalpie"/>
          <w:rFonts w:ascii="Century Gothic" w:hAnsi="Century Gothic"/>
          <w:sz w:val="18"/>
          <w:szCs w:val="18"/>
        </w:rPr>
        <w:footnoteRef/>
      </w:r>
      <w:r w:rsidRPr="00961DB4">
        <w:rPr>
          <w:rFonts w:ascii="Century Gothic" w:hAnsi="Century Gothic"/>
          <w:sz w:val="18"/>
          <w:szCs w:val="18"/>
        </w:rPr>
        <w:t xml:space="preserve"> Registro digital: 2031098; Instancia: Primera Sala; Undécima Época; Materias(s): Civil, Común; Tesis: 1a./J. 176/2025 (11a.); Fuente: Gaceta del Semanario Judicial de la Federación. Libro 52, Agosto de 2025, Tomo V, Volumen 2, página 1128; Tipo: Jurisprudencia</w:t>
      </w:r>
    </w:p>
    <w:p w14:paraId="7727EA37" w14:textId="77777777" w:rsidR="004352FB" w:rsidRPr="00961DB4" w:rsidRDefault="004352FB" w:rsidP="00961DB4">
      <w:pPr>
        <w:pStyle w:val="Textonotapie"/>
        <w:spacing w:after="80"/>
        <w:jc w:val="both"/>
        <w:rPr>
          <w:rFonts w:ascii="Century Gothic" w:hAnsi="Century Gothic"/>
          <w:sz w:val="18"/>
          <w:szCs w:val="18"/>
        </w:rPr>
      </w:pPr>
      <w:r w:rsidRPr="00961DB4">
        <w:rPr>
          <w:rFonts w:ascii="Century Gothic" w:hAnsi="Century Gothic"/>
          <w:sz w:val="18"/>
          <w:szCs w:val="18"/>
        </w:rPr>
        <w:t>JUICIOS DE AMPARO PROMOVIDOS POR PERSONAS ADULTAS MAYORES. SUPLENCIA DE LA QUEJA DEFICIENTE.</w:t>
      </w:r>
    </w:p>
    <w:p w14:paraId="515145A7" w14:textId="77777777" w:rsidR="004352FB" w:rsidRPr="00961DB4" w:rsidRDefault="004352FB" w:rsidP="00961DB4">
      <w:pPr>
        <w:pStyle w:val="Textonotapie"/>
        <w:spacing w:after="80"/>
        <w:jc w:val="both"/>
        <w:rPr>
          <w:rFonts w:ascii="Century Gothic" w:hAnsi="Century Gothic"/>
          <w:sz w:val="18"/>
          <w:szCs w:val="18"/>
        </w:rPr>
      </w:pPr>
      <w:r w:rsidRPr="00961DB4">
        <w:rPr>
          <w:rFonts w:ascii="Century Gothic" w:hAnsi="Century Gothic"/>
          <w:sz w:val="18"/>
          <w:szCs w:val="18"/>
        </w:rPr>
        <w:t>Hechos: Un adulto mayor, pensionado por invalidez, demandó a una aseguradora el cumplimiento de un contrato de seguro que ampara el riesgo de incapacidad total y permanente, derivado de que fue diagnosticado con una enfermedad ocular que daña el nervio óptico. En la sentencia definitiva se determinó que la aseguradora no tenía la obligación de cubrir el seguro, porque su cobertura tiene como límite la edad de sesenta y cinco años, mientras que el reclamante tenía sesenta y siete a la fecha en que se declaró su estado de invalidez.</w:t>
      </w:r>
    </w:p>
    <w:p w14:paraId="35E9F34E" w14:textId="77777777" w:rsidR="004352FB" w:rsidRPr="00961DB4" w:rsidRDefault="004352FB" w:rsidP="00961DB4">
      <w:pPr>
        <w:pStyle w:val="Textonotapie"/>
        <w:spacing w:after="80"/>
        <w:jc w:val="both"/>
        <w:rPr>
          <w:rFonts w:ascii="Century Gothic" w:hAnsi="Century Gothic"/>
          <w:sz w:val="18"/>
          <w:szCs w:val="18"/>
        </w:rPr>
      </w:pPr>
      <w:r w:rsidRPr="00961DB4">
        <w:rPr>
          <w:rFonts w:ascii="Century Gothic" w:hAnsi="Century Gothic"/>
          <w:sz w:val="18"/>
          <w:szCs w:val="18"/>
        </w:rPr>
        <w:t>Inconforme, el reclamante promovió un juicio de amparo directo en el que solicitó que le fuera suplida la deficiencia de la queja, toda vez que era una persona con discapacidad y se encontraba en desventaja en la relación contractual, lo que lo colocaba en un estado de vulnerabilidad al ser usuario de los servicios que presta la demandada.</w:t>
      </w:r>
    </w:p>
    <w:p w14:paraId="6B27D6CB" w14:textId="77777777" w:rsidR="004352FB" w:rsidRPr="00961DB4" w:rsidRDefault="004352FB" w:rsidP="00961DB4">
      <w:pPr>
        <w:pStyle w:val="Textonotapie"/>
        <w:spacing w:after="80"/>
        <w:jc w:val="both"/>
        <w:rPr>
          <w:rFonts w:ascii="Century Gothic" w:hAnsi="Century Gothic"/>
          <w:sz w:val="18"/>
          <w:szCs w:val="18"/>
        </w:rPr>
      </w:pPr>
      <w:r w:rsidRPr="00961DB4">
        <w:rPr>
          <w:rFonts w:ascii="Century Gothic" w:hAnsi="Century Gothic"/>
          <w:sz w:val="18"/>
          <w:szCs w:val="18"/>
        </w:rPr>
        <w:t>Sin embargo, el Tribunal Colegiado de Circuito negó el amparo, al concluir que eran inoperantes sus conceptos de violación por no impugnar los razonamientos que sustentaron la absolución de la aseguradora. Además, señaló que en el caso no era aplicable la suplencia de la queja, porque no se encontraba en ningún supuesto de la Ley de Amparo, ya que lo reclamado derivaba de una relación mercantil. En desacuerdo con esa decisión, el asegurado interpuso un recurso de revisión.</w:t>
      </w:r>
    </w:p>
    <w:p w14:paraId="72681351" w14:textId="77777777" w:rsidR="004352FB" w:rsidRPr="00961DB4" w:rsidRDefault="004352FB" w:rsidP="00961DB4">
      <w:pPr>
        <w:pStyle w:val="Textonotapie"/>
        <w:spacing w:after="80"/>
        <w:jc w:val="both"/>
        <w:rPr>
          <w:rFonts w:ascii="Century Gothic" w:hAnsi="Century Gothic"/>
          <w:sz w:val="18"/>
          <w:szCs w:val="18"/>
        </w:rPr>
      </w:pPr>
      <w:r w:rsidRPr="00961DB4">
        <w:rPr>
          <w:rFonts w:ascii="Century Gothic" w:hAnsi="Century Gothic"/>
          <w:sz w:val="18"/>
          <w:szCs w:val="18"/>
        </w:rPr>
        <w:t>En su resolución, la Suprema Corte de Justicia de la Nación concluyó que sí era procedente suplir la deficiencia de la queja en favor del quejoso. Si bien esta institución no opera de forma automática por el solo hecho de que la parte quejosa sea una persona adulta mayor, en el caso existían diversos factores que evidenciaban una situación de vulnerabilidad y de desventaja procesal, entre ellos, que el recurrente era pensionado por invalidez y tenía el carácter de asegurado frente a la empresa aseguradora.</w:t>
      </w:r>
    </w:p>
    <w:p w14:paraId="1DBA0815" w14:textId="77777777" w:rsidR="004352FB" w:rsidRPr="00961DB4" w:rsidRDefault="004352FB" w:rsidP="00961DB4">
      <w:pPr>
        <w:pStyle w:val="Textonotapie"/>
        <w:spacing w:after="80"/>
        <w:jc w:val="both"/>
        <w:rPr>
          <w:rFonts w:ascii="Century Gothic" w:hAnsi="Century Gothic"/>
          <w:sz w:val="18"/>
          <w:szCs w:val="18"/>
        </w:rPr>
      </w:pPr>
      <w:r w:rsidRPr="00961DB4">
        <w:rPr>
          <w:rFonts w:ascii="Century Gothic" w:hAnsi="Century Gothic"/>
          <w:sz w:val="18"/>
          <w:szCs w:val="18"/>
        </w:rPr>
        <w:t>Criterio jurídico: Las personas juzgadoras tienen la obligación de analizar si, en los asuntos promovidos por personas adultas mayores, concurren otras condiciones, como discapacidad, género, estado de salud, disminución de capacidad motora o intelectual, nivel educativo o pertenencia a una comunidad indígena, que las coloquen en una situación de vulnerabilidad o indefensión, al hacerlas propensas a actos de discriminación social, familiar, laboral y económica. En tales casos, debe valorarse la posibilidad de suplir su queja deficiente, conforme a lo previsto en el artículo 79, fracción VII, de la Ley de Amparo.</w:t>
      </w:r>
    </w:p>
    <w:p w14:paraId="04D4D8A3" w14:textId="77777777" w:rsidR="004352FB" w:rsidRPr="00961DB4" w:rsidRDefault="004352FB" w:rsidP="00961DB4">
      <w:pPr>
        <w:pStyle w:val="Textonotapie"/>
        <w:spacing w:after="80"/>
        <w:jc w:val="both"/>
        <w:rPr>
          <w:rFonts w:ascii="Century Gothic" w:hAnsi="Century Gothic"/>
          <w:sz w:val="18"/>
          <w:szCs w:val="18"/>
        </w:rPr>
      </w:pPr>
      <w:r w:rsidRPr="00961DB4">
        <w:rPr>
          <w:rFonts w:ascii="Century Gothic" w:hAnsi="Century Gothic"/>
          <w:sz w:val="18"/>
          <w:szCs w:val="18"/>
        </w:rPr>
        <w:t>Justificación: La suplencia de la queja es una figura jurídica que busca que las personas puedan acceder a la justicia en condiciones de igualdad. Por lo tanto, obliga a las autoridades judiciales a considerar circunstancias que no fueron expresamente planteadas por las partes, o bien, a subsanar la insuficiencia de sus argumentos.</w:t>
      </w:r>
    </w:p>
    <w:p w14:paraId="748791DF" w14:textId="77777777" w:rsidR="004352FB" w:rsidRPr="00961DB4" w:rsidRDefault="004352FB" w:rsidP="00961DB4">
      <w:pPr>
        <w:pStyle w:val="Textonotapie"/>
        <w:spacing w:after="80"/>
        <w:jc w:val="both"/>
        <w:rPr>
          <w:rFonts w:ascii="Century Gothic" w:hAnsi="Century Gothic"/>
          <w:sz w:val="18"/>
          <w:szCs w:val="18"/>
        </w:rPr>
      </w:pPr>
      <w:r w:rsidRPr="00961DB4">
        <w:rPr>
          <w:rFonts w:ascii="Century Gothic" w:hAnsi="Century Gothic"/>
          <w:sz w:val="18"/>
          <w:szCs w:val="18"/>
        </w:rPr>
        <w:t>Lo anterior, tiene como propósito evitar desventajas procesales en perjuicio de personas que se encuentran en una situación de vulnerabilidad, ya sea por su edad, condición de discapacidad, situación de privación de libertad, pobreza o marginación, así como por su calidad de persona trabajadora, ejidataria o comunera.</w:t>
      </w:r>
    </w:p>
    <w:p w14:paraId="0FF3FBBF" w14:textId="77777777" w:rsidR="004352FB" w:rsidRPr="00961DB4" w:rsidRDefault="004352FB" w:rsidP="00961DB4">
      <w:pPr>
        <w:pStyle w:val="Textonotapie"/>
        <w:spacing w:after="80"/>
        <w:jc w:val="both"/>
        <w:rPr>
          <w:rFonts w:ascii="Century Gothic" w:hAnsi="Century Gothic"/>
          <w:sz w:val="18"/>
          <w:szCs w:val="18"/>
        </w:rPr>
      </w:pPr>
      <w:r w:rsidRPr="00961DB4">
        <w:rPr>
          <w:rFonts w:ascii="Century Gothic" w:hAnsi="Century Gothic"/>
          <w:sz w:val="18"/>
          <w:szCs w:val="18"/>
        </w:rPr>
        <w:t>Ahora bien, la vejez no necesariamente implica que la persona se encuentre en una situación de vulnerabilidad que exija la aplicación de la suplencia de la queja, ya que la edad, por sí misma, no genera un estado de indefensión, sino que su observancia dependerá de las circunstancias y el contexto particular de cada persona que evidencien que existe una desventaja procesal.</w:t>
      </w:r>
    </w:p>
    <w:p w14:paraId="1E0D78E0" w14:textId="77777777" w:rsidR="004352FB" w:rsidRPr="00961DB4" w:rsidRDefault="004352FB" w:rsidP="00961DB4">
      <w:pPr>
        <w:pStyle w:val="Textonotapie"/>
        <w:spacing w:after="80"/>
        <w:jc w:val="both"/>
        <w:rPr>
          <w:rFonts w:ascii="Century Gothic" w:hAnsi="Century Gothic"/>
          <w:sz w:val="18"/>
          <w:szCs w:val="18"/>
        </w:rPr>
      </w:pPr>
      <w:r w:rsidRPr="00961DB4">
        <w:rPr>
          <w:rFonts w:ascii="Century Gothic" w:hAnsi="Century Gothic"/>
          <w:sz w:val="18"/>
          <w:szCs w:val="18"/>
        </w:rPr>
        <w:t>Esto sucede cuando concurren otras circunstancias que generan dificultades para ejercer sus derechos, tales como la disminución de su capacidad motora o intelectual u otros aspectos como el género, estado de salud, situación laboral, educación, analfabetismo o pertenecer a una comunidad indígena, entre otros.</w:t>
      </w:r>
    </w:p>
    <w:p w14:paraId="05E2DC7B" w14:textId="77777777" w:rsidR="004352FB" w:rsidRPr="00961DB4" w:rsidRDefault="004352FB" w:rsidP="00961DB4">
      <w:pPr>
        <w:pStyle w:val="Textonotapie"/>
        <w:spacing w:after="80"/>
        <w:jc w:val="both"/>
        <w:rPr>
          <w:rFonts w:ascii="Century Gothic" w:hAnsi="Century Gothic"/>
          <w:sz w:val="18"/>
          <w:szCs w:val="18"/>
        </w:rPr>
      </w:pPr>
      <w:r w:rsidRPr="00961DB4">
        <w:rPr>
          <w:rFonts w:ascii="Century Gothic" w:hAnsi="Century Gothic"/>
          <w:sz w:val="18"/>
          <w:szCs w:val="18"/>
        </w:rPr>
        <w:t>En estos casos, el adulto mayor se equipara a una persona en situación de vulnerabilidad, dado que, por sus circunstancias personales, se encuentra en una clara desventaja social para su defensa en el juicio, de manera que no existe igualdad en el proceso judicial, por lo que debe aplicarse la suplencia de la queja, prevista en el artículo 79, fracción VII, de la Ley de Amparo.</w:t>
      </w:r>
    </w:p>
  </w:footnote>
  <w:footnote w:id="166">
    <w:p w14:paraId="4EE53C77" w14:textId="5536D2A0" w:rsidR="00A403DE" w:rsidRPr="00961DB4" w:rsidRDefault="00A403DE" w:rsidP="00961DB4">
      <w:pPr>
        <w:pStyle w:val="Textonotapie"/>
        <w:jc w:val="both"/>
        <w:rPr>
          <w:rFonts w:ascii="Century Gothic" w:hAnsi="Century Gothic"/>
          <w:sz w:val="18"/>
          <w:szCs w:val="18"/>
        </w:rPr>
      </w:pPr>
      <w:r w:rsidRPr="00961DB4">
        <w:rPr>
          <w:rStyle w:val="Refdenotaalpie"/>
          <w:rFonts w:ascii="Century Gothic" w:hAnsi="Century Gothic"/>
          <w:sz w:val="18"/>
          <w:szCs w:val="18"/>
        </w:rPr>
        <w:footnoteRef/>
      </w:r>
      <w:r w:rsidRPr="00961DB4">
        <w:rPr>
          <w:rFonts w:ascii="Century Gothic" w:hAnsi="Century Gothic"/>
          <w:sz w:val="18"/>
          <w:szCs w:val="18"/>
        </w:rPr>
        <w:t xml:space="preserve"> RECURSO DE QUEJA 57/2026. Vigésimo Tribunal Colegiado en materia Administrativa del Primer Circuito. Magistrada Ponente Mayra González Solís. Sesionado el 6 de febrero de 2026, publicado el 9 de febrero de 2026. Disponible en el siguiente enlace: </w:t>
      </w:r>
      <w:hyperlink r:id="rId84" w:history="1">
        <w:r w:rsidRPr="00961DB4">
          <w:rPr>
            <w:rStyle w:val="Hipervnculo"/>
            <w:rFonts w:ascii="Century Gothic" w:hAnsi="Century Gothic"/>
            <w:sz w:val="18"/>
            <w:szCs w:val="18"/>
          </w:rPr>
          <w:t>https://sise.cjf.gob.mx/SVP/word1.aspx?arch=1443/1443000041033623002.pdf_1&amp;sec=Héctor_Jesús_Reyna_Perezguemes&amp;svp=1</w:t>
        </w:r>
      </w:hyperlink>
      <w:r w:rsidRPr="00961DB4">
        <w:rPr>
          <w:rFonts w:ascii="Century Gothic" w:hAnsi="Century Gothic"/>
          <w:sz w:val="18"/>
          <w:szCs w:val="18"/>
        </w:rPr>
        <w:t xml:space="preserve">, </w:t>
      </w:r>
      <w:r w:rsidRPr="00961DB4">
        <w:rPr>
          <w:rFonts w:ascii="Century Gothic" w:eastAsia="Century Gothic" w:hAnsi="Century Gothic" w:cs="Century Gothic"/>
          <w:color w:val="000000"/>
          <w:sz w:val="18"/>
          <w:szCs w:val="18"/>
        </w:rPr>
        <w:t xml:space="preserve">que dio origen a las siguientes </w:t>
      </w:r>
      <w:r w:rsidRPr="00961DB4">
        <w:rPr>
          <w:rFonts w:ascii="Century Gothic" w:hAnsi="Century Gothic"/>
          <w:sz w:val="18"/>
          <w:szCs w:val="18"/>
        </w:rPr>
        <w:t>tesis aisladas de rubro y registro digital:</w:t>
      </w:r>
      <w:r w:rsidR="00CD67EE" w:rsidRPr="00961DB4">
        <w:rPr>
          <w:rFonts w:ascii="Century Gothic" w:hAnsi="Century Gothic"/>
          <w:sz w:val="18"/>
          <w:szCs w:val="18"/>
        </w:rPr>
        <w:t xml:space="preserve"> </w:t>
      </w:r>
      <w:r w:rsidRPr="00961DB4">
        <w:rPr>
          <w:rFonts w:ascii="Century Gothic" w:hAnsi="Century Gothic"/>
          <w:sz w:val="18"/>
          <w:szCs w:val="18"/>
        </w:rPr>
        <w:t xml:space="preserve">DERECHO HUMANO A LA PRIVACIDAD, EN SU VERTIENTE DE AUTODETERMINACIÓN INFORMATIVA. ES NECESARIO RECONCEPTUALIZARLO COMO SOBERANÍA DIGITAL PERSONAL ANTE LOS NUEVOS DESAFÍOS TÉCNICOS, DILEMAS ÉTICOS Y RETOS JURÍDICOS QUE IMPLICA LA BIOMETRÍA LLEVADA A CABO POR AUTORIDADES (registro digital: 2032324); SOBERANÍA DIGITAL PERSONAL. ES UN DERECHO HUMANO EMERGENTE INDISPENSABLE PARA SALVAGUARDAR LA PRIVACIDAD, SEGURIDAD E INTEGRIDAD DE LAS PERSONAS ANTE EL MONITOREO BIOMÉTRICO EN UN CAPITALISMO DE VIGILANCIA (registro digital: </w:t>
      </w:r>
      <w:r w:rsidR="0022327D" w:rsidRPr="00961DB4">
        <w:rPr>
          <w:rFonts w:ascii="Century Gothic" w:hAnsi="Century Gothic"/>
          <w:sz w:val="18"/>
          <w:szCs w:val="18"/>
        </w:rPr>
        <w:t>2032350); SUSPENSIÓN PROVISIONAL EN AMPARO INDIRECTO. AL PROVEER SOBRE SU CONCESIÓN CONTRA EL ARTÍCULO 91 BIS DE LA LEY GENERAL DE POBLACIÓN, SE DEBE CONSIDERAR QUE LAS REPERCUSIONES NEGATIVAS DE LA BIOMETRÍA EMPEORAN GRAVEMENTE EN EL MODELO ECONÓMICO ACTUAL DEL CAPITALISMO DE VIGILANCIA (registro digital: 2032354); y, SUSPENSIÓN PROVISIONAL EN AMPARO INDIRECTO. PROCEDE CONTRA EL ARTÍCULO 91 BIS DE LA LEY GENERAL DE POBLACIÓN QUE PREVÉ LA CREACIÓN DE LA CLAVE ÚNICA DE REGISTRO DE POBLACIÓN (CURP) BIOMÉTRICA (registro digital: 2032355)</w:t>
      </w:r>
    </w:p>
  </w:footnote>
  <w:footnote w:id="167">
    <w:p w14:paraId="37BDBE3D" w14:textId="77777777" w:rsidR="00001DF2" w:rsidRPr="00961DB4" w:rsidRDefault="00000000" w:rsidP="00961DB4">
      <w:pPr>
        <w:pBdr>
          <w:top w:val="nil"/>
          <w:left w:val="nil"/>
          <w:bottom w:val="nil"/>
          <w:right w:val="nil"/>
          <w:between w:val="nil"/>
        </w:pBdr>
        <w:spacing w:after="80" w:line="240" w:lineRule="auto"/>
        <w:jc w:val="both"/>
        <w:rPr>
          <w:rFonts w:ascii="Century Gothic" w:eastAsia="Times New Roman" w:hAnsi="Century Gothic" w:cs="Times New Roman"/>
          <w:color w:val="000000"/>
          <w:sz w:val="18"/>
          <w:szCs w:val="18"/>
        </w:rPr>
      </w:pPr>
      <w:r w:rsidRPr="00961DB4">
        <w:rPr>
          <w:rFonts w:ascii="Century Gothic" w:hAnsi="Century Gothic"/>
          <w:sz w:val="18"/>
          <w:szCs w:val="18"/>
          <w:vertAlign w:val="superscript"/>
        </w:rPr>
        <w:footnoteRef/>
      </w:r>
      <w:r w:rsidRPr="00961DB4">
        <w:rPr>
          <w:rFonts w:ascii="Century Gothic" w:eastAsia="Times New Roman" w:hAnsi="Century Gothic" w:cs="Times New Roman"/>
          <w:color w:val="000000"/>
          <w:sz w:val="18"/>
          <w:szCs w:val="18"/>
        </w:rPr>
        <w:t xml:space="preserve"> </w:t>
      </w:r>
      <w:r w:rsidRPr="00961DB4">
        <w:rPr>
          <w:rFonts w:ascii="Century Gothic" w:eastAsia="Century Gothic" w:hAnsi="Century Gothic" w:cs="Century Gothic"/>
          <w:color w:val="000000"/>
          <w:sz w:val="18"/>
          <w:szCs w:val="18"/>
        </w:rPr>
        <w:t>Omar H. Garcia Harfuch [@OHarfuch]. 16 de junio de 2026. Op. Cit.</w:t>
      </w:r>
    </w:p>
  </w:footnote>
  <w:footnote w:id="168">
    <w:p w14:paraId="3E8FAD95" w14:textId="3BEAD623" w:rsidR="00D16AB2" w:rsidRPr="00961DB4" w:rsidRDefault="00D16AB2" w:rsidP="00961DB4">
      <w:pPr>
        <w:pStyle w:val="Textonotapie"/>
        <w:jc w:val="both"/>
        <w:rPr>
          <w:rFonts w:ascii="Century Gothic" w:hAnsi="Century Gothic"/>
          <w:sz w:val="18"/>
          <w:szCs w:val="18"/>
        </w:rPr>
      </w:pPr>
      <w:r w:rsidRPr="00961DB4">
        <w:rPr>
          <w:rStyle w:val="Refdenotaalpie"/>
          <w:rFonts w:ascii="Century Gothic" w:hAnsi="Century Gothic"/>
          <w:sz w:val="18"/>
          <w:szCs w:val="18"/>
        </w:rPr>
        <w:footnoteRef/>
      </w:r>
      <w:r w:rsidRPr="00961DB4">
        <w:rPr>
          <w:rFonts w:ascii="Century Gothic" w:hAnsi="Century Gothic"/>
          <w:sz w:val="18"/>
          <w:szCs w:val="18"/>
        </w:rPr>
        <w:t xml:space="preserve"> </w:t>
      </w:r>
      <w:r w:rsidR="001416FD" w:rsidRPr="00961DB4">
        <w:rPr>
          <w:rFonts w:ascii="Century Gothic" w:hAnsi="Century Gothic"/>
          <w:sz w:val="18"/>
          <w:szCs w:val="18"/>
        </w:rPr>
        <w:t xml:space="preserve">Corte IDH. Caso Granier y otros (Radio Caracas Televisión) vs Venezuela. Sentencia de 22 de junio de 2015, párr. 161. Disponible en el siguiente enlace: </w:t>
      </w:r>
      <w:hyperlink r:id="rId85" w:history="1">
        <w:r w:rsidR="001416FD" w:rsidRPr="00961DB4">
          <w:rPr>
            <w:rStyle w:val="Hipervnculo"/>
            <w:rFonts w:ascii="Century Gothic" w:hAnsi="Century Gothic"/>
            <w:sz w:val="18"/>
            <w:szCs w:val="18"/>
          </w:rPr>
          <w:t>https://jurisprudencia.corteidh.or.cr/es/vid/corte-idh-caso-granier-883975316</w:t>
        </w:r>
      </w:hyperlink>
      <w:r w:rsidR="001416FD" w:rsidRPr="00961DB4">
        <w:rPr>
          <w:rFonts w:ascii="Century Gothic" w:hAnsi="Century Gothic"/>
          <w:sz w:val="18"/>
          <w:szCs w:val="18"/>
        </w:rPr>
        <w:t xml:space="preserve"> </w:t>
      </w:r>
    </w:p>
    <w:p w14:paraId="532D562F" w14:textId="22F1D390" w:rsidR="001416FD" w:rsidRPr="00961DB4" w:rsidRDefault="001416FD" w:rsidP="00961DB4">
      <w:pPr>
        <w:pStyle w:val="Textonotapie"/>
        <w:jc w:val="both"/>
        <w:rPr>
          <w:rFonts w:ascii="Century Gothic" w:hAnsi="Century Gothic"/>
          <w:i/>
          <w:iCs/>
          <w:sz w:val="18"/>
          <w:szCs w:val="18"/>
        </w:rPr>
      </w:pPr>
      <w:r w:rsidRPr="00961DB4">
        <w:rPr>
          <w:rFonts w:ascii="Century Gothic" w:hAnsi="Century Gothic"/>
          <w:i/>
          <w:iCs/>
          <w:sz w:val="18"/>
          <w:szCs w:val="18"/>
        </w:rPr>
        <w:t>161. En el presente caso se ha argumentado que se estaría frente a una posible restricción indirecta al derecho a la libertad de expresión, razón por la cual la Corte resalta que el artículo 13.3 de la Convención hace referencia expresa a tal situación al señalar que “[n]o se puede restringir el derecho de expresión por vías o medios indirectos, tales como el abuso de controles oficiales o particulares de papel para periódicos, de frecuencias radioeléctricas, o de enseres y aparatos usados en la difusión de información o por cualesquiera otros medios encaminados a impedir la comunicación y la circulación de ideas y opiniones”. Este Tribunal considera que el alcance del artículo 13.3 de la Convención debe ser el resultado de una lectura conjunta con el artículo 13.1 de la Convención, en el sentido que una interpretación amplia de esta norma permite considerar que protege en forma específica la comunicación, difusión y circulación de ideas y opiniones, de modo que queda prohibido el empleo de “vías o medios indirectos” para restringirlas.</w:t>
      </w:r>
    </w:p>
  </w:footnote>
  <w:footnote w:id="169">
    <w:p w14:paraId="3C8B93D2" w14:textId="689F97DA" w:rsidR="00AD700C" w:rsidRPr="00961DB4" w:rsidRDefault="00AD700C" w:rsidP="00961DB4">
      <w:pPr>
        <w:pStyle w:val="Textonotapie"/>
        <w:jc w:val="both"/>
        <w:rPr>
          <w:rFonts w:ascii="Century Gothic" w:hAnsi="Century Gothic"/>
          <w:sz w:val="18"/>
          <w:szCs w:val="18"/>
        </w:rPr>
      </w:pPr>
      <w:r w:rsidRPr="00961DB4">
        <w:rPr>
          <w:rStyle w:val="Refdenotaalpie"/>
          <w:rFonts w:ascii="Century Gothic" w:hAnsi="Century Gothic"/>
          <w:sz w:val="18"/>
          <w:szCs w:val="18"/>
        </w:rPr>
        <w:footnoteRef/>
      </w:r>
      <w:r w:rsidRPr="00961DB4">
        <w:rPr>
          <w:rFonts w:ascii="Century Gothic" w:hAnsi="Century Gothic"/>
          <w:sz w:val="18"/>
          <w:szCs w:val="18"/>
        </w:rPr>
        <w:t xml:space="preserve"> </w:t>
      </w:r>
      <w:r w:rsidR="00961DB4" w:rsidRPr="00961DB4">
        <w:rPr>
          <w:rFonts w:ascii="Century Gothic" w:hAnsi="Century Gothic"/>
          <w:sz w:val="18"/>
          <w:szCs w:val="18"/>
        </w:rPr>
        <w:t>Declaración conjunta sobre libertad de expresión e Internet. 1 de junio de 2011, Op. Cit.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A7137"/>
    <w:multiLevelType w:val="hybridMultilevel"/>
    <w:tmpl w:val="1D3CFBE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FB07C9A"/>
    <w:multiLevelType w:val="multilevel"/>
    <w:tmpl w:val="C922C9E6"/>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6D52591"/>
    <w:multiLevelType w:val="multilevel"/>
    <w:tmpl w:val="EF8EBD0E"/>
    <w:lvl w:ilvl="0">
      <w:start w:val="1"/>
      <w:numFmt w:val="lowerLetter"/>
      <w:lvlText w:val="%1)"/>
      <w:lvlJc w:val="left"/>
      <w:pPr>
        <w:ind w:left="720" w:hanging="360"/>
      </w:pPr>
      <w:rPr>
        <w:b/>
        <w:bCs/>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63C0B9C"/>
    <w:multiLevelType w:val="multilevel"/>
    <w:tmpl w:val="3B7EA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3E5EA8"/>
    <w:multiLevelType w:val="multilevel"/>
    <w:tmpl w:val="2B8E48C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284E7323"/>
    <w:multiLevelType w:val="multilevel"/>
    <w:tmpl w:val="A85A26F4"/>
    <w:lvl w:ilvl="0">
      <w:start w:val="1"/>
      <w:numFmt w:val="decimal"/>
      <w:lvlText w:val="%1."/>
      <w:lvlJc w:val="left"/>
      <w:pPr>
        <w:ind w:left="1778" w:hanging="360"/>
      </w:pPr>
      <w:rPr>
        <w:b/>
        <w:bCs/>
      </w:rPr>
    </w:lvl>
    <w:lvl w:ilvl="1">
      <w:start w:val="1"/>
      <w:numFmt w:val="lowerLetter"/>
      <w:lvlText w:val="%2."/>
      <w:lvlJc w:val="left"/>
      <w:pPr>
        <w:ind w:left="2498" w:hanging="360"/>
      </w:pPr>
    </w:lvl>
    <w:lvl w:ilvl="2">
      <w:start w:val="1"/>
      <w:numFmt w:val="lowerRoman"/>
      <w:lvlText w:val="%3."/>
      <w:lvlJc w:val="right"/>
      <w:pPr>
        <w:ind w:left="3218" w:hanging="180"/>
      </w:pPr>
    </w:lvl>
    <w:lvl w:ilvl="3">
      <w:start w:val="1"/>
      <w:numFmt w:val="decimal"/>
      <w:lvlText w:val="%4."/>
      <w:lvlJc w:val="left"/>
      <w:pPr>
        <w:ind w:left="3938" w:hanging="360"/>
      </w:pPr>
    </w:lvl>
    <w:lvl w:ilvl="4">
      <w:start w:val="1"/>
      <w:numFmt w:val="lowerLetter"/>
      <w:lvlText w:val="%5."/>
      <w:lvlJc w:val="left"/>
      <w:pPr>
        <w:ind w:left="4658" w:hanging="360"/>
      </w:pPr>
    </w:lvl>
    <w:lvl w:ilvl="5">
      <w:start w:val="1"/>
      <w:numFmt w:val="lowerRoman"/>
      <w:lvlText w:val="%6."/>
      <w:lvlJc w:val="right"/>
      <w:pPr>
        <w:ind w:left="5378" w:hanging="180"/>
      </w:pPr>
    </w:lvl>
    <w:lvl w:ilvl="6">
      <w:start w:val="1"/>
      <w:numFmt w:val="decimal"/>
      <w:lvlText w:val="%7."/>
      <w:lvlJc w:val="left"/>
      <w:pPr>
        <w:ind w:left="6098" w:hanging="360"/>
      </w:pPr>
    </w:lvl>
    <w:lvl w:ilvl="7">
      <w:start w:val="1"/>
      <w:numFmt w:val="lowerLetter"/>
      <w:lvlText w:val="%8."/>
      <w:lvlJc w:val="left"/>
      <w:pPr>
        <w:ind w:left="6818" w:hanging="360"/>
      </w:pPr>
    </w:lvl>
    <w:lvl w:ilvl="8">
      <w:start w:val="1"/>
      <w:numFmt w:val="lowerRoman"/>
      <w:lvlText w:val="%9."/>
      <w:lvlJc w:val="right"/>
      <w:pPr>
        <w:ind w:left="7538" w:hanging="180"/>
      </w:pPr>
    </w:lvl>
  </w:abstractNum>
  <w:abstractNum w:abstractNumId="6" w15:restartNumberingAfterBreak="0">
    <w:nsid w:val="2C3060C8"/>
    <w:multiLevelType w:val="multilevel"/>
    <w:tmpl w:val="37B20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6918C0"/>
    <w:multiLevelType w:val="multilevel"/>
    <w:tmpl w:val="621E76D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388D3565"/>
    <w:multiLevelType w:val="multilevel"/>
    <w:tmpl w:val="355C71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4B511E39"/>
    <w:multiLevelType w:val="multilevel"/>
    <w:tmpl w:val="D6864D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4FE66EDA"/>
    <w:multiLevelType w:val="multilevel"/>
    <w:tmpl w:val="F5C8A394"/>
    <w:lvl w:ilvl="0">
      <w:start w:val="3"/>
      <w:numFmt w:val="bullet"/>
      <w:lvlText w:val="-"/>
      <w:lvlJc w:val="left"/>
      <w:pPr>
        <w:ind w:left="1778" w:hanging="360"/>
      </w:pPr>
      <w:rPr>
        <w:rFonts w:ascii="Century Gothic" w:eastAsia="Century Gothic" w:hAnsi="Century Gothic" w:cs="Century Gothic"/>
      </w:rPr>
    </w:lvl>
    <w:lvl w:ilvl="1">
      <w:start w:val="1"/>
      <w:numFmt w:val="bullet"/>
      <w:lvlText w:val="o"/>
      <w:lvlJc w:val="left"/>
      <w:pPr>
        <w:ind w:left="2498" w:hanging="360"/>
      </w:pPr>
      <w:rPr>
        <w:rFonts w:ascii="Courier New" w:eastAsia="Courier New" w:hAnsi="Courier New" w:cs="Courier New"/>
      </w:rPr>
    </w:lvl>
    <w:lvl w:ilvl="2">
      <w:start w:val="1"/>
      <w:numFmt w:val="bullet"/>
      <w:lvlText w:val="▪"/>
      <w:lvlJc w:val="left"/>
      <w:pPr>
        <w:ind w:left="3218" w:hanging="360"/>
      </w:pPr>
      <w:rPr>
        <w:rFonts w:ascii="Noto Sans Symbols" w:eastAsia="Noto Sans Symbols" w:hAnsi="Noto Sans Symbols" w:cs="Noto Sans Symbols"/>
      </w:rPr>
    </w:lvl>
    <w:lvl w:ilvl="3">
      <w:start w:val="1"/>
      <w:numFmt w:val="bullet"/>
      <w:lvlText w:val="●"/>
      <w:lvlJc w:val="left"/>
      <w:pPr>
        <w:ind w:left="3938" w:hanging="360"/>
      </w:pPr>
      <w:rPr>
        <w:rFonts w:ascii="Noto Sans Symbols" w:eastAsia="Noto Sans Symbols" w:hAnsi="Noto Sans Symbols" w:cs="Noto Sans Symbols"/>
      </w:rPr>
    </w:lvl>
    <w:lvl w:ilvl="4">
      <w:start w:val="1"/>
      <w:numFmt w:val="bullet"/>
      <w:lvlText w:val="o"/>
      <w:lvlJc w:val="left"/>
      <w:pPr>
        <w:ind w:left="4658" w:hanging="360"/>
      </w:pPr>
      <w:rPr>
        <w:rFonts w:ascii="Courier New" w:eastAsia="Courier New" w:hAnsi="Courier New" w:cs="Courier New"/>
      </w:rPr>
    </w:lvl>
    <w:lvl w:ilvl="5">
      <w:start w:val="1"/>
      <w:numFmt w:val="bullet"/>
      <w:lvlText w:val="▪"/>
      <w:lvlJc w:val="left"/>
      <w:pPr>
        <w:ind w:left="5378" w:hanging="360"/>
      </w:pPr>
      <w:rPr>
        <w:rFonts w:ascii="Noto Sans Symbols" w:eastAsia="Noto Sans Symbols" w:hAnsi="Noto Sans Symbols" w:cs="Noto Sans Symbols"/>
      </w:rPr>
    </w:lvl>
    <w:lvl w:ilvl="6">
      <w:start w:val="1"/>
      <w:numFmt w:val="bullet"/>
      <w:lvlText w:val="●"/>
      <w:lvlJc w:val="left"/>
      <w:pPr>
        <w:ind w:left="6098" w:hanging="360"/>
      </w:pPr>
      <w:rPr>
        <w:rFonts w:ascii="Noto Sans Symbols" w:eastAsia="Noto Sans Symbols" w:hAnsi="Noto Sans Symbols" w:cs="Noto Sans Symbols"/>
      </w:rPr>
    </w:lvl>
    <w:lvl w:ilvl="7">
      <w:start w:val="1"/>
      <w:numFmt w:val="bullet"/>
      <w:lvlText w:val="o"/>
      <w:lvlJc w:val="left"/>
      <w:pPr>
        <w:ind w:left="6818" w:hanging="360"/>
      </w:pPr>
      <w:rPr>
        <w:rFonts w:ascii="Courier New" w:eastAsia="Courier New" w:hAnsi="Courier New" w:cs="Courier New"/>
      </w:rPr>
    </w:lvl>
    <w:lvl w:ilvl="8">
      <w:start w:val="1"/>
      <w:numFmt w:val="bullet"/>
      <w:lvlText w:val="▪"/>
      <w:lvlJc w:val="left"/>
      <w:pPr>
        <w:ind w:left="7538" w:hanging="360"/>
      </w:pPr>
      <w:rPr>
        <w:rFonts w:ascii="Noto Sans Symbols" w:eastAsia="Noto Sans Symbols" w:hAnsi="Noto Sans Symbols" w:cs="Noto Sans Symbols"/>
      </w:rPr>
    </w:lvl>
  </w:abstractNum>
  <w:abstractNum w:abstractNumId="11" w15:restartNumberingAfterBreak="0">
    <w:nsid w:val="581147E5"/>
    <w:multiLevelType w:val="multilevel"/>
    <w:tmpl w:val="7CD6A55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593B7059"/>
    <w:multiLevelType w:val="multilevel"/>
    <w:tmpl w:val="C3041700"/>
    <w:lvl w:ilvl="0">
      <w:start w:val="1"/>
      <w:numFmt w:val="decimal"/>
      <w:lvlText w:val="%1."/>
      <w:lvlJc w:val="left"/>
      <w:pPr>
        <w:ind w:left="720" w:hanging="360"/>
      </w:pPr>
      <w:rPr>
        <w:b/>
        <w:bCs/>
      </w:r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654002C1"/>
    <w:multiLevelType w:val="multilevel"/>
    <w:tmpl w:val="CD5CF2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5233074">
    <w:abstractNumId w:val="9"/>
  </w:num>
  <w:num w:numId="2" w16cid:durableId="447629379">
    <w:abstractNumId w:val="1"/>
  </w:num>
  <w:num w:numId="3" w16cid:durableId="234171522">
    <w:abstractNumId w:val="8"/>
  </w:num>
  <w:num w:numId="4" w16cid:durableId="1868063837">
    <w:abstractNumId w:val="2"/>
  </w:num>
  <w:num w:numId="5" w16cid:durableId="33426081">
    <w:abstractNumId w:val="4"/>
  </w:num>
  <w:num w:numId="6" w16cid:durableId="1407262851">
    <w:abstractNumId w:val="13"/>
  </w:num>
  <w:num w:numId="7" w16cid:durableId="1948661895">
    <w:abstractNumId w:val="7"/>
  </w:num>
  <w:num w:numId="8" w16cid:durableId="849754492">
    <w:abstractNumId w:val="5"/>
  </w:num>
  <w:num w:numId="9" w16cid:durableId="1684625643">
    <w:abstractNumId w:val="12"/>
  </w:num>
  <w:num w:numId="10" w16cid:durableId="712773317">
    <w:abstractNumId w:val="10"/>
  </w:num>
  <w:num w:numId="11" w16cid:durableId="1689022045">
    <w:abstractNumId w:val="11"/>
  </w:num>
  <w:num w:numId="12" w16cid:durableId="1831798239">
    <w:abstractNumId w:val="3"/>
  </w:num>
  <w:num w:numId="13" w16cid:durableId="437531167">
    <w:abstractNumId w:val="0"/>
  </w:num>
  <w:num w:numId="14" w16cid:durableId="62732059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1DF2"/>
    <w:rsid w:val="00001DF2"/>
    <w:rsid w:val="00014E20"/>
    <w:rsid w:val="00021CD4"/>
    <w:rsid w:val="000241D4"/>
    <w:rsid w:val="00024F39"/>
    <w:rsid w:val="000273B9"/>
    <w:rsid w:val="00031DAA"/>
    <w:rsid w:val="00045B49"/>
    <w:rsid w:val="0005351C"/>
    <w:rsid w:val="00054283"/>
    <w:rsid w:val="00054C41"/>
    <w:rsid w:val="00056A4D"/>
    <w:rsid w:val="00067C73"/>
    <w:rsid w:val="00067F91"/>
    <w:rsid w:val="00080463"/>
    <w:rsid w:val="000A0564"/>
    <w:rsid w:val="000A3AEA"/>
    <w:rsid w:val="000B32A4"/>
    <w:rsid w:val="000D0388"/>
    <w:rsid w:val="000F0DC7"/>
    <w:rsid w:val="000F1054"/>
    <w:rsid w:val="000F1126"/>
    <w:rsid w:val="000F3912"/>
    <w:rsid w:val="000F424C"/>
    <w:rsid w:val="00107AE1"/>
    <w:rsid w:val="001278B3"/>
    <w:rsid w:val="00127EA9"/>
    <w:rsid w:val="00130A6C"/>
    <w:rsid w:val="00136838"/>
    <w:rsid w:val="001416FD"/>
    <w:rsid w:val="00144DA2"/>
    <w:rsid w:val="00150FA8"/>
    <w:rsid w:val="00174953"/>
    <w:rsid w:val="00175C2F"/>
    <w:rsid w:val="001926C1"/>
    <w:rsid w:val="00195A45"/>
    <w:rsid w:val="00197328"/>
    <w:rsid w:val="001C27BA"/>
    <w:rsid w:val="001D07B9"/>
    <w:rsid w:val="001D5DC9"/>
    <w:rsid w:val="001D73A2"/>
    <w:rsid w:val="00215352"/>
    <w:rsid w:val="002178C7"/>
    <w:rsid w:val="0022327D"/>
    <w:rsid w:val="002353F5"/>
    <w:rsid w:val="002448DD"/>
    <w:rsid w:val="00272B60"/>
    <w:rsid w:val="002757CB"/>
    <w:rsid w:val="002818E2"/>
    <w:rsid w:val="00281976"/>
    <w:rsid w:val="002900B4"/>
    <w:rsid w:val="002912B2"/>
    <w:rsid w:val="002945A4"/>
    <w:rsid w:val="00295E5B"/>
    <w:rsid w:val="002A432E"/>
    <w:rsid w:val="002A5226"/>
    <w:rsid w:val="002A646E"/>
    <w:rsid w:val="002B1049"/>
    <w:rsid w:val="002B56AA"/>
    <w:rsid w:val="002E2562"/>
    <w:rsid w:val="002E7856"/>
    <w:rsid w:val="002F4C3E"/>
    <w:rsid w:val="00307FDF"/>
    <w:rsid w:val="003229A8"/>
    <w:rsid w:val="003317B7"/>
    <w:rsid w:val="003322CA"/>
    <w:rsid w:val="003604D5"/>
    <w:rsid w:val="00365B68"/>
    <w:rsid w:val="00366FF3"/>
    <w:rsid w:val="00367D3D"/>
    <w:rsid w:val="003713A4"/>
    <w:rsid w:val="00381D53"/>
    <w:rsid w:val="003830A0"/>
    <w:rsid w:val="00383FAE"/>
    <w:rsid w:val="00391B42"/>
    <w:rsid w:val="00395D93"/>
    <w:rsid w:val="00396AAA"/>
    <w:rsid w:val="003C7409"/>
    <w:rsid w:val="003D15F5"/>
    <w:rsid w:val="003D3D59"/>
    <w:rsid w:val="003D5C68"/>
    <w:rsid w:val="003E1571"/>
    <w:rsid w:val="003F5DAF"/>
    <w:rsid w:val="003F671E"/>
    <w:rsid w:val="004226FE"/>
    <w:rsid w:val="00424C2E"/>
    <w:rsid w:val="004352FB"/>
    <w:rsid w:val="00435366"/>
    <w:rsid w:val="00463C7E"/>
    <w:rsid w:val="00492947"/>
    <w:rsid w:val="00497D40"/>
    <w:rsid w:val="004B1108"/>
    <w:rsid w:val="004B2834"/>
    <w:rsid w:val="004B7700"/>
    <w:rsid w:val="004C30D0"/>
    <w:rsid w:val="004C3173"/>
    <w:rsid w:val="004C3477"/>
    <w:rsid w:val="004E4AD3"/>
    <w:rsid w:val="004F3C91"/>
    <w:rsid w:val="00501022"/>
    <w:rsid w:val="00502DA6"/>
    <w:rsid w:val="005057B1"/>
    <w:rsid w:val="005106C1"/>
    <w:rsid w:val="005112C5"/>
    <w:rsid w:val="00524841"/>
    <w:rsid w:val="00524F61"/>
    <w:rsid w:val="005306CF"/>
    <w:rsid w:val="00544FAD"/>
    <w:rsid w:val="00563949"/>
    <w:rsid w:val="00581812"/>
    <w:rsid w:val="00597C8B"/>
    <w:rsid w:val="005B6BD4"/>
    <w:rsid w:val="005C3004"/>
    <w:rsid w:val="005F4009"/>
    <w:rsid w:val="006061AF"/>
    <w:rsid w:val="00613F68"/>
    <w:rsid w:val="00616AA5"/>
    <w:rsid w:val="00621A8C"/>
    <w:rsid w:val="00631BA7"/>
    <w:rsid w:val="00663115"/>
    <w:rsid w:val="00672C0D"/>
    <w:rsid w:val="00675B47"/>
    <w:rsid w:val="006A01DE"/>
    <w:rsid w:val="006A2543"/>
    <w:rsid w:val="006C3048"/>
    <w:rsid w:val="006C48F9"/>
    <w:rsid w:val="006C6C42"/>
    <w:rsid w:val="006D5B84"/>
    <w:rsid w:val="00712C35"/>
    <w:rsid w:val="00724C64"/>
    <w:rsid w:val="007250F0"/>
    <w:rsid w:val="007276A1"/>
    <w:rsid w:val="00734721"/>
    <w:rsid w:val="00743935"/>
    <w:rsid w:val="00744C74"/>
    <w:rsid w:val="00756E19"/>
    <w:rsid w:val="00773CA4"/>
    <w:rsid w:val="00786DF5"/>
    <w:rsid w:val="007A1F51"/>
    <w:rsid w:val="007B2F79"/>
    <w:rsid w:val="007B7CEF"/>
    <w:rsid w:val="007E23AF"/>
    <w:rsid w:val="007F1C37"/>
    <w:rsid w:val="007F6BC2"/>
    <w:rsid w:val="008049BA"/>
    <w:rsid w:val="008156F8"/>
    <w:rsid w:val="0081571B"/>
    <w:rsid w:val="00862FF6"/>
    <w:rsid w:val="008742F1"/>
    <w:rsid w:val="008E05E7"/>
    <w:rsid w:val="008E467A"/>
    <w:rsid w:val="00916B20"/>
    <w:rsid w:val="009564D9"/>
    <w:rsid w:val="00961DB4"/>
    <w:rsid w:val="009620E0"/>
    <w:rsid w:val="00965E7A"/>
    <w:rsid w:val="009666F0"/>
    <w:rsid w:val="00976050"/>
    <w:rsid w:val="00977DE1"/>
    <w:rsid w:val="009A6560"/>
    <w:rsid w:val="009C4D21"/>
    <w:rsid w:val="009D3192"/>
    <w:rsid w:val="009D4BE9"/>
    <w:rsid w:val="009F63ED"/>
    <w:rsid w:val="00A26F15"/>
    <w:rsid w:val="00A403DE"/>
    <w:rsid w:val="00A53178"/>
    <w:rsid w:val="00A555A1"/>
    <w:rsid w:val="00A602D2"/>
    <w:rsid w:val="00AA4678"/>
    <w:rsid w:val="00AB2391"/>
    <w:rsid w:val="00AB796D"/>
    <w:rsid w:val="00AD14FF"/>
    <w:rsid w:val="00AD1CFF"/>
    <w:rsid w:val="00AD700C"/>
    <w:rsid w:val="00AE695D"/>
    <w:rsid w:val="00AF70D6"/>
    <w:rsid w:val="00B11AAA"/>
    <w:rsid w:val="00B17F81"/>
    <w:rsid w:val="00B220EB"/>
    <w:rsid w:val="00B339BD"/>
    <w:rsid w:val="00B342FC"/>
    <w:rsid w:val="00B4160F"/>
    <w:rsid w:val="00B57054"/>
    <w:rsid w:val="00B7448E"/>
    <w:rsid w:val="00BA1BA7"/>
    <w:rsid w:val="00BC24D7"/>
    <w:rsid w:val="00BC54D1"/>
    <w:rsid w:val="00BD42FA"/>
    <w:rsid w:val="00BE5B7A"/>
    <w:rsid w:val="00BF4661"/>
    <w:rsid w:val="00C16927"/>
    <w:rsid w:val="00C16B8C"/>
    <w:rsid w:val="00C22770"/>
    <w:rsid w:val="00C41365"/>
    <w:rsid w:val="00C423A9"/>
    <w:rsid w:val="00C5032F"/>
    <w:rsid w:val="00C53017"/>
    <w:rsid w:val="00C633A7"/>
    <w:rsid w:val="00C73ABC"/>
    <w:rsid w:val="00C91316"/>
    <w:rsid w:val="00CA56BF"/>
    <w:rsid w:val="00CC0CA9"/>
    <w:rsid w:val="00CC1989"/>
    <w:rsid w:val="00CD67EE"/>
    <w:rsid w:val="00CE48AA"/>
    <w:rsid w:val="00CF010D"/>
    <w:rsid w:val="00CF3503"/>
    <w:rsid w:val="00D11F3C"/>
    <w:rsid w:val="00D16AB2"/>
    <w:rsid w:val="00D16AE1"/>
    <w:rsid w:val="00D23B6F"/>
    <w:rsid w:val="00D27D07"/>
    <w:rsid w:val="00D45913"/>
    <w:rsid w:val="00D514F0"/>
    <w:rsid w:val="00D5355E"/>
    <w:rsid w:val="00D5506A"/>
    <w:rsid w:val="00D57C8E"/>
    <w:rsid w:val="00D602D1"/>
    <w:rsid w:val="00D64C74"/>
    <w:rsid w:val="00D726DC"/>
    <w:rsid w:val="00D73B0A"/>
    <w:rsid w:val="00DC485A"/>
    <w:rsid w:val="00DC48F9"/>
    <w:rsid w:val="00DD5852"/>
    <w:rsid w:val="00DE0684"/>
    <w:rsid w:val="00DE211A"/>
    <w:rsid w:val="00DE3BA9"/>
    <w:rsid w:val="00DE5D62"/>
    <w:rsid w:val="00DF1191"/>
    <w:rsid w:val="00DF25CA"/>
    <w:rsid w:val="00E157B2"/>
    <w:rsid w:val="00E309B9"/>
    <w:rsid w:val="00E40489"/>
    <w:rsid w:val="00E51544"/>
    <w:rsid w:val="00E548F9"/>
    <w:rsid w:val="00E7454D"/>
    <w:rsid w:val="00E81DD2"/>
    <w:rsid w:val="00E8315A"/>
    <w:rsid w:val="00E85934"/>
    <w:rsid w:val="00E92698"/>
    <w:rsid w:val="00EA6A6A"/>
    <w:rsid w:val="00EB2B33"/>
    <w:rsid w:val="00EB6716"/>
    <w:rsid w:val="00EB6F5C"/>
    <w:rsid w:val="00ED45CE"/>
    <w:rsid w:val="00ED6C5E"/>
    <w:rsid w:val="00F0254B"/>
    <w:rsid w:val="00F03788"/>
    <w:rsid w:val="00F1097C"/>
    <w:rsid w:val="00F12227"/>
    <w:rsid w:val="00F14A23"/>
    <w:rsid w:val="00F361A0"/>
    <w:rsid w:val="00F50260"/>
    <w:rsid w:val="00F75C08"/>
    <w:rsid w:val="00FB3C30"/>
    <w:rsid w:val="00FB6CD4"/>
    <w:rsid w:val="00FC63DF"/>
    <w:rsid w:val="00FD0789"/>
    <w:rsid w:val="00FE02DF"/>
    <w:rsid w:val="00FF5AB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FCE0A"/>
  <w15:docId w15:val="{BF5C2B53-C49E-416F-9FF9-61881A75E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s-MX" w:eastAsia="es-MX"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paragraph" w:styleId="Subttulo">
    <w:name w:val="Subtitle"/>
    <w:basedOn w:val="Normal"/>
    <w:next w:val="Normal"/>
    <w:uiPriority w:val="11"/>
    <w:qFormat/>
    <w:rPr>
      <w:color w:val="595959"/>
      <w:sz w:val="28"/>
      <w:szCs w:val="28"/>
    </w:rPr>
  </w:style>
  <w:style w:type="table" w:customStyle="1" w:styleId="a">
    <w:basedOn w:val="TableNormal"/>
    <w:tblPr>
      <w:tblStyleRowBandSize w:val="1"/>
      <w:tblStyleColBandSize w:val="1"/>
      <w:tblCellMar>
        <w:top w:w="0" w:type="dxa"/>
        <w:left w:w="70" w:type="dxa"/>
        <w:bottom w:w="0" w:type="dxa"/>
        <w:right w:w="70" w:type="dxa"/>
      </w:tblCellMar>
    </w:tblPr>
  </w:style>
  <w:style w:type="paragraph" w:styleId="Prrafodelista">
    <w:name w:val="List Paragraph"/>
    <w:basedOn w:val="Normal"/>
    <w:uiPriority w:val="34"/>
    <w:qFormat/>
    <w:rsid w:val="006A01DE"/>
    <w:pPr>
      <w:ind w:left="720"/>
      <w:contextualSpacing/>
    </w:pPr>
  </w:style>
  <w:style w:type="paragraph" w:styleId="Textonotapie">
    <w:name w:val="footnote text"/>
    <w:basedOn w:val="Normal"/>
    <w:link w:val="TextonotapieCar"/>
    <w:uiPriority w:val="99"/>
    <w:semiHidden/>
    <w:unhideWhenUsed/>
    <w:rsid w:val="006A01DE"/>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6A01DE"/>
    <w:rPr>
      <w:sz w:val="20"/>
      <w:szCs w:val="20"/>
    </w:rPr>
  </w:style>
  <w:style w:type="character" w:styleId="Refdenotaalpie">
    <w:name w:val="footnote reference"/>
    <w:basedOn w:val="Fuentedeprrafopredeter"/>
    <w:uiPriority w:val="99"/>
    <w:semiHidden/>
    <w:unhideWhenUsed/>
    <w:rsid w:val="006A01DE"/>
    <w:rPr>
      <w:vertAlign w:val="superscript"/>
    </w:rPr>
  </w:style>
  <w:style w:type="character" w:styleId="Hipervnculo">
    <w:name w:val="Hyperlink"/>
    <w:basedOn w:val="Fuentedeprrafopredeter"/>
    <w:uiPriority w:val="99"/>
    <w:unhideWhenUsed/>
    <w:rsid w:val="00127EA9"/>
    <w:rPr>
      <w:color w:val="0000FF" w:themeColor="hyperlink"/>
      <w:u w:val="single"/>
    </w:rPr>
  </w:style>
  <w:style w:type="character" w:styleId="Mencinsinresolver">
    <w:name w:val="Unresolved Mention"/>
    <w:basedOn w:val="Fuentedeprrafopredeter"/>
    <w:uiPriority w:val="99"/>
    <w:semiHidden/>
    <w:unhideWhenUsed/>
    <w:rsid w:val="00127EA9"/>
    <w:rPr>
      <w:color w:val="605E5C"/>
      <w:shd w:val="clear" w:color="auto" w:fill="E1DFDD"/>
    </w:rPr>
  </w:style>
  <w:style w:type="character" w:styleId="Hipervnculovisitado">
    <w:name w:val="FollowedHyperlink"/>
    <w:basedOn w:val="Fuentedeprrafopredeter"/>
    <w:uiPriority w:val="99"/>
    <w:semiHidden/>
    <w:unhideWhenUsed/>
    <w:rsid w:val="003D3D59"/>
    <w:rPr>
      <w:color w:val="800080" w:themeColor="followedHyperlink"/>
      <w:u w:val="single"/>
    </w:rPr>
  </w:style>
  <w:style w:type="character" w:styleId="Refdecomentario">
    <w:name w:val="annotation reference"/>
    <w:basedOn w:val="Fuentedeprrafopredeter"/>
    <w:uiPriority w:val="99"/>
    <w:semiHidden/>
    <w:unhideWhenUsed/>
    <w:rsid w:val="00FE02DF"/>
    <w:rPr>
      <w:sz w:val="16"/>
      <w:szCs w:val="16"/>
    </w:rPr>
  </w:style>
  <w:style w:type="paragraph" w:styleId="Textocomentario">
    <w:name w:val="annotation text"/>
    <w:basedOn w:val="Normal"/>
    <w:link w:val="TextocomentarioCar"/>
    <w:uiPriority w:val="99"/>
    <w:unhideWhenUsed/>
    <w:rsid w:val="00FE02DF"/>
    <w:pPr>
      <w:spacing w:line="240" w:lineRule="auto"/>
    </w:pPr>
    <w:rPr>
      <w:sz w:val="20"/>
      <w:szCs w:val="20"/>
    </w:rPr>
  </w:style>
  <w:style w:type="character" w:customStyle="1" w:styleId="TextocomentarioCar">
    <w:name w:val="Texto comentario Car"/>
    <w:basedOn w:val="Fuentedeprrafopredeter"/>
    <w:link w:val="Textocomentario"/>
    <w:uiPriority w:val="99"/>
    <w:rsid w:val="00FE02DF"/>
    <w:rPr>
      <w:sz w:val="20"/>
      <w:szCs w:val="20"/>
    </w:rPr>
  </w:style>
  <w:style w:type="paragraph" w:styleId="Asuntodelcomentario">
    <w:name w:val="annotation subject"/>
    <w:basedOn w:val="Textocomentario"/>
    <w:next w:val="Textocomentario"/>
    <w:link w:val="AsuntodelcomentarioCar"/>
    <w:uiPriority w:val="99"/>
    <w:semiHidden/>
    <w:unhideWhenUsed/>
    <w:rsid w:val="00FE02DF"/>
    <w:rPr>
      <w:b/>
      <w:bCs/>
    </w:rPr>
  </w:style>
  <w:style w:type="character" w:customStyle="1" w:styleId="AsuntodelcomentarioCar">
    <w:name w:val="Asunto del comentario Car"/>
    <w:basedOn w:val="TextocomentarioCar"/>
    <w:link w:val="Asuntodelcomentario"/>
    <w:uiPriority w:val="99"/>
    <w:semiHidden/>
    <w:rsid w:val="00FE02DF"/>
    <w:rPr>
      <w:b/>
      <w:bCs/>
      <w:sz w:val="20"/>
      <w:szCs w:val="20"/>
    </w:rPr>
  </w:style>
  <w:style w:type="paragraph" w:styleId="NormalWeb">
    <w:name w:val="Normal (Web)"/>
    <w:basedOn w:val="Normal"/>
    <w:uiPriority w:val="99"/>
    <w:semiHidden/>
    <w:unhideWhenUsed/>
    <w:rsid w:val="00C633A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notes.xml.rels><?xml version="1.0" encoding="UTF-8" standalone="yes"?>
<Relationships xmlns="http://schemas.openxmlformats.org/package/2006/relationships"><Relationship Id="rId26" Type="http://schemas.openxmlformats.org/officeDocument/2006/relationships/hyperlink" Target="https://docs.un.org/es/A/HRC/23/40" TargetMode="External"/><Relationship Id="rId21" Type="http://schemas.openxmlformats.org/officeDocument/2006/relationships/hyperlink" Target="https://hudoc.echr.coe.int/eng" TargetMode="External"/><Relationship Id="rId42" Type="http://schemas.openxmlformats.org/officeDocument/2006/relationships/hyperlink" Target="https://www.eluniversal.com.mx/nacion/imparable-mercado-negro-de-chips-ven-fracaso-en-el-registro-de-celulares/" TargetMode="External"/><Relationship Id="rId47" Type="http://schemas.openxmlformats.org/officeDocument/2006/relationships/hyperlink" Target="https://www.sinembargo.mx/4718764/puntosycomas-una-decada-y-la-impunidad-en-mexico-se-mantiene-por-arriba-del-90/" TargetMode="External"/><Relationship Id="rId63" Type="http://schemas.openxmlformats.org/officeDocument/2006/relationships/hyperlink" Target="https://www.oas.org/es/cidh/expresion/showarticle.asp?artID=849" TargetMode="External"/><Relationship Id="rId68" Type="http://schemas.openxmlformats.org/officeDocument/2006/relationships/hyperlink" Target="https://hudoc.echr.coe.int/spa" TargetMode="External"/><Relationship Id="rId84" Type="http://schemas.openxmlformats.org/officeDocument/2006/relationships/hyperlink" Target="https://sise.cjf.gob.mx/SVP/word1.aspx?arch=1443/1443000041033623002.pdf_1&amp;sec=H&#233;ctor_Jes&#250;s_Reyna_Perezguemes&amp;svp=1" TargetMode="External"/><Relationship Id="rId16" Type="http://schemas.openxmlformats.org/officeDocument/2006/relationships/hyperlink" Target="https://www.corteidh.or.cr/docs/casos/articulos/seriec_200_esp1.pdf" TargetMode="External"/><Relationship Id="rId11" Type="http://schemas.openxmlformats.org/officeDocument/2006/relationships/hyperlink" Target="https://www.telcel.com/aviso-de-privacidad" TargetMode="External"/><Relationship Id="rId32" Type="http://schemas.openxmlformats.org/officeDocument/2006/relationships/hyperlink" Target="https://portal.crt.gob.mx/informes-consideraciones/626152b3-494e-452a-a159-4f7c70fd0cc6.pdf" TargetMode="External"/><Relationship Id="rId37" Type="http://schemas.openxmlformats.org/officeDocument/2006/relationships/hyperlink" Target="https://cloud.google.com/discover/what-is-a-neural-network?hl=es-419" TargetMode="External"/><Relationship Id="rId53" Type="http://schemas.openxmlformats.org/officeDocument/2006/relationships/hyperlink" Target="https://sjf2.scjn.gob.mx/detalle/tesis/2032259" TargetMode="External"/><Relationship Id="rId58" Type="http://schemas.openxmlformats.org/officeDocument/2006/relationships/hyperlink" Target="https://articulo19.org/gobierno-mexicano-uso-pegasus-para-espiar-al-menos-a-456-personas-en-2019/" TargetMode="External"/><Relationship Id="rId74" Type="http://schemas.openxmlformats.org/officeDocument/2006/relationships/hyperlink" Target="https://www.corteidh.or.cr/docs/casos/articulos/seriec_200_esp1.pdf" TargetMode="External"/><Relationship Id="rId79" Type="http://schemas.openxmlformats.org/officeDocument/2006/relationships/hyperlink" Target="https://en.www.inegi.org.mx/contenidos/saladeprensa/boletines/2026/endutih/ENDUTIH_25.pdf" TargetMode="External"/><Relationship Id="rId5" Type="http://schemas.openxmlformats.org/officeDocument/2006/relationships/hyperlink" Target="https://sise.cjf.gob.mx/SVP/word1.aspx?arch=193/0193000039904097003.pdf_1&amp;sec=Omar_G&#243;mez_Silva&amp;svp=1" TargetMode="External"/><Relationship Id="rId19" Type="http://schemas.openxmlformats.org/officeDocument/2006/relationships/hyperlink" Target="https://hudoc.echr.coe.int/spa" TargetMode="External"/><Relationship Id="rId14" Type="http://schemas.openxmlformats.org/officeDocument/2006/relationships/hyperlink" Target="https://corteidh.or.cr/docs/casos/articulos/seriec_239_esp.pdf" TargetMode="External"/><Relationship Id="rId22" Type="http://schemas.openxmlformats.org/officeDocument/2006/relationships/hyperlink" Target="https://www.oas.org/es/cidh/expresion/docs/informes/2014_04_08_internet_web.pdf" TargetMode="External"/><Relationship Id="rId27" Type="http://schemas.openxmlformats.org/officeDocument/2006/relationships/hyperlink" Target="https://www.oas.org/es/cidh/expresion/docs/informes/2014_04_08_internet_web.pdf" TargetMode="External"/><Relationship Id="rId30" Type="http://schemas.openxmlformats.org/officeDocument/2006/relationships/hyperlink" Target="https://eur-lex.europa.eu/legal-content/ES/TXT/PDF/?uri=CELEX:62012CJ0293" TargetMode="External"/><Relationship Id="rId35" Type="http://schemas.openxmlformats.org/officeDocument/2006/relationships/hyperlink" Target="https://cloud.google.com/discover/what-is-a-neural-network?hl=es-419" TargetMode="External"/><Relationship Id="rId43" Type="http://schemas.openxmlformats.org/officeDocument/2006/relationships/hyperlink" Target="https://portal.crt.gob.mx/plataformas-de-consulta-de-las-companias-telefonicas" TargetMode="External"/><Relationship Id="rId48" Type="http://schemas.openxmlformats.org/officeDocument/2006/relationships/hyperlink" Target="https://www.xataka.com.mx/telecomunicaciones/telcel-filtra-datos-personales-usuarios-mexico-registro-lineas-celulares-falla-sus-primeros-dias" TargetMode="External"/><Relationship Id="rId56" Type="http://schemas.openxmlformats.org/officeDocument/2006/relationships/hyperlink" Target="https://www.prodecon.gob.mx/wp-content/uploads/2025/08/Boletin-BUAP-9-vf.pdf" TargetMode="External"/><Relationship Id="rId64" Type="http://schemas.openxmlformats.org/officeDocument/2006/relationships/hyperlink" Target="https://www.acnur.org/fileadmin/Documentos/BDL/2015/10048.pdf" TargetMode="External"/><Relationship Id="rId69" Type="http://schemas.openxmlformats.org/officeDocument/2006/relationships/hyperlink" Target="http://scholarship.law.unc.edu/ncjolt/vol16/iss2/3" TargetMode="External"/><Relationship Id="rId77" Type="http://schemas.openxmlformats.org/officeDocument/2006/relationships/hyperlink" Target="https://www.cnbv.gob.mx/Normatividad/Disposiciones%20de%20car%C3%A1cter%20general%20aplicables%20a%20las%20instituciones%20de%20cr%C3%A9dito.pdf" TargetMode="External"/><Relationship Id="rId8" Type="http://schemas.openxmlformats.org/officeDocument/2006/relationships/hyperlink" Target="https://sjf2.scjn.gob.mx/detalle/tesis/2031960" TargetMode="External"/><Relationship Id="rId51" Type="http://schemas.openxmlformats.org/officeDocument/2006/relationships/hyperlink" Target="https://sjf2.scjn.gob.mx/detalle/voto/45240" TargetMode="External"/><Relationship Id="rId72" Type="http://schemas.openxmlformats.org/officeDocument/2006/relationships/hyperlink" Target="https://www.corteidh.or.cr/docs/casos/articulos/seriec_111_esp.pdf" TargetMode="External"/><Relationship Id="rId80" Type="http://schemas.openxmlformats.org/officeDocument/2006/relationships/hyperlink" Target="https://sjf2.scjn.gob.mx/detalle/ejecutoria/22636" TargetMode="External"/><Relationship Id="rId85" Type="http://schemas.openxmlformats.org/officeDocument/2006/relationships/hyperlink" Target="https://jurisprudencia.corteidh.or.cr/es/vid/corte-idh-caso-granier-883975316" TargetMode="External"/><Relationship Id="rId3" Type="http://schemas.openxmlformats.org/officeDocument/2006/relationships/hyperlink" Target="https://sjf2.scjn.gob.mx/detalle/tesis/2019662" TargetMode="External"/><Relationship Id="rId12" Type="http://schemas.openxmlformats.org/officeDocument/2006/relationships/hyperlink" Target="https://www.movistar.com.mx/informacion-para-clientes/aviso-de-privacidad" TargetMode="External"/><Relationship Id="rId17" Type="http://schemas.openxmlformats.org/officeDocument/2006/relationships/hyperlink" Target="https://www.corteidh.or.cr/docs/casos/articulos/seriec_200_esp1.pdf" TargetMode="External"/><Relationship Id="rId25" Type="http://schemas.openxmlformats.org/officeDocument/2006/relationships/hyperlink" Target="https://digitallibrary.un.org/record/764407/files/A_RES_68_167-ES.pdf" TargetMode="External"/><Relationship Id="rId33" Type="http://schemas.openxmlformats.org/officeDocument/2006/relationships/hyperlink" Target="https://www.corteidh.or.cr/docs/opiniones/seriea_06_esp.pdf" TargetMode="External"/><Relationship Id="rId38" Type="http://schemas.openxmlformats.org/officeDocument/2006/relationships/hyperlink" Target="https://www.senado.gob.mx/66/version_estenografica/2025_6_28/2523" TargetMode="External"/><Relationship Id="rId46" Type="http://schemas.openxmlformats.org/officeDocument/2006/relationships/hyperlink" Target="https://www.gob.mx/crt/prensa/reporta-crt-144-5-millones-de-lineas-celulares-activas-en-mexico?idiom=es" TargetMode="External"/><Relationship Id="rId59" Type="http://schemas.openxmlformats.org/officeDocument/2006/relationships/hyperlink" Target="https://home.inai.org.mx/wp-content/documentos/Resolucionesenmateria/INAI.32.07.01-007-2018.pdf" TargetMode="External"/><Relationship Id="rId67" Type="http://schemas.openxmlformats.org/officeDocument/2006/relationships/hyperlink" Target="https://hchr.org.mx/puntal/wp/wp-content/uploads/2020/06/G1509588.pdf" TargetMode="External"/><Relationship Id="rId20" Type="http://schemas.openxmlformats.org/officeDocument/2006/relationships/hyperlink" Target="https://hudoc.echr.coe.int/spa" TargetMode="External"/><Relationship Id="rId41" Type="http://schemas.openxmlformats.org/officeDocument/2006/relationships/hyperlink" Target="https://www.gob.mx/shcp/prensa/comunicado-no-44-426754?idiom=es" TargetMode="External"/><Relationship Id="rId54" Type="http://schemas.openxmlformats.org/officeDocument/2006/relationships/hyperlink" Target="https://www.oas.org/es/cidh/expresion/docs/publicaciones/internet_2016_esp.pdf" TargetMode="External"/><Relationship Id="rId62" Type="http://schemas.openxmlformats.org/officeDocument/2006/relationships/hyperlink" Target="https://x.com/OHarfuch/status/2066896691291169067?s=20" TargetMode="External"/><Relationship Id="rId70" Type="http://schemas.openxmlformats.org/officeDocument/2006/relationships/hyperlink" Target="https://supreme.justia.com/cases/federal/us/362/60/" TargetMode="External"/><Relationship Id="rId75" Type="http://schemas.openxmlformats.org/officeDocument/2006/relationships/hyperlink" Target="https://sjf2.scjn.gob.mx/detalle/ejecutoria/29319" TargetMode="External"/><Relationship Id="rId83" Type="http://schemas.openxmlformats.org/officeDocument/2006/relationships/hyperlink" Target="https://corteidh.scjn.gob.mx/buscador/doc?doc=casos_sentencias/CasoLoayzaTamayoVsPeru_ReparacionesCostas.htm" TargetMode="External"/><Relationship Id="rId1" Type="http://schemas.openxmlformats.org/officeDocument/2006/relationships/hyperlink" Target="https://cedulaprofesional.sep.gob.mx/" TargetMode="External"/><Relationship Id="rId6" Type="http://schemas.openxmlformats.org/officeDocument/2006/relationships/hyperlink" Target="https://sjf2.scjn.gob.mx/detalle/ejecutoria/31068" TargetMode="External"/><Relationship Id="rId15" Type="http://schemas.openxmlformats.org/officeDocument/2006/relationships/hyperlink" Target="https://www.corteidh.or.cr/docs/casos/articulos/seriec_193_esp.pdf" TargetMode="External"/><Relationship Id="rId23" Type="http://schemas.openxmlformats.org/officeDocument/2006/relationships/hyperlink" Target="https://www2.scjn.gob.mx/juridica/engroses/1/2014/2/3_164118_2780_firmado.pdf" TargetMode="External"/><Relationship Id="rId28" Type="http://schemas.openxmlformats.org/officeDocument/2006/relationships/hyperlink" Target="https://necessaryandproportionate.org/es/principios/" TargetMode="External"/><Relationship Id="rId36" Type="http://schemas.openxmlformats.org/officeDocument/2006/relationships/hyperlink" Target="https://cloud.google.com/discover/what-is-a-neural-network?hl=es-419" TargetMode="External"/><Relationship Id="rId49" Type="http://schemas.openxmlformats.org/officeDocument/2006/relationships/hyperlink" Target="https://undocs.org/es/A/HRC/39/29" TargetMode="External"/><Relationship Id="rId57" Type="http://schemas.openxmlformats.org/officeDocument/2006/relationships/hyperlink" Target="https://www.oas.org/es/cidh/informes/pdfs/Mexico2016-es.pdf" TargetMode="External"/><Relationship Id="rId10" Type="http://schemas.openxmlformats.org/officeDocument/2006/relationships/hyperlink" Target="https://att.com.mx/config-legal/detalle/?type=pdf&amp;title=Aviso%20de%20privacidad&amp;src=https%3A%2F%2Fd14v9oh63c3onh.cloudfront.net%2FAviso_de_privacidad_28c76742ba.pdf" TargetMode="External"/><Relationship Id="rId31" Type="http://schemas.openxmlformats.org/officeDocument/2006/relationships/hyperlink" Target="https://eur-lex.europa.eu/legal-content/ES/TXT/PDF/?uri=CELEX:62015CJ0203" TargetMode="External"/><Relationship Id="rId44" Type="http://schemas.openxmlformats.org/officeDocument/2006/relationships/hyperlink" Target="https://www.proceso.com.mx/ciencia-tecnologia/2023/6/5/fraudes-espionaje-chantaje-famosos-las-amenazas-deepfake-mas-peligrosas-307429.html" TargetMode="External"/><Relationship Id="rId52" Type="http://schemas.openxmlformats.org/officeDocument/2006/relationships/hyperlink" Target="https://sjf2.scjn.gob.mx/detalle/ejecutoria/34055" TargetMode="External"/><Relationship Id="rId60" Type="http://schemas.openxmlformats.org/officeDocument/2006/relationships/hyperlink" Target="https://articulo19.org/las-golondrinasenelalambre-del-gobierno-federal-torres-falsas-de-telefonia-para-recolectar-informacion-de-personas/" TargetMode="External"/><Relationship Id="rId65" Type="http://schemas.openxmlformats.org/officeDocument/2006/relationships/hyperlink" Target="https://www.inegi.org.mx/contenidos/saladeprensa/boletines/2026/endutih/ENDUTIH_25_RR.pdf" TargetMode="External"/><Relationship Id="rId73" Type="http://schemas.openxmlformats.org/officeDocument/2006/relationships/hyperlink" Target="https://www.corteidh.or.cr/docs/casos/articulos/seriec_482_esp.pdf" TargetMode="External"/><Relationship Id="rId78" Type="http://schemas.openxmlformats.org/officeDocument/2006/relationships/hyperlink" Target="https://www.eleconomista.com.mx/finanzaspersonales/vinculas-numero-celular-curp-app-bancaria-dejara-funcionar-esto-dice-abm-20260615-818435.html" TargetMode="External"/><Relationship Id="rId81" Type="http://schemas.openxmlformats.org/officeDocument/2006/relationships/hyperlink" Target="https://sjf2.scjn.gob.mx/detalle/tesis/165822" TargetMode="External"/><Relationship Id="rId4" Type="http://schemas.openxmlformats.org/officeDocument/2006/relationships/hyperlink" Target="https://sjf2.scjn.gob.mx/detalle/tesis/2032251" TargetMode="External"/><Relationship Id="rId9" Type="http://schemas.openxmlformats.org/officeDocument/2006/relationships/hyperlink" Target="https://www2.scjn.gob.mx/juridica/engroses/1/2017/3/2_217484_3701_firmado.pdf" TargetMode="External"/><Relationship Id="rId13" Type="http://schemas.openxmlformats.org/officeDocument/2006/relationships/hyperlink" Target="https://www.walmartmexico.com/content/dam/walmart-mexico/documents/aviso-de-privacidad/aviso-de-privacidad-unificado/Aviso%20de%20Privacidad%20Unificado%20240524_VF.pdf" TargetMode="External"/><Relationship Id="rId18" Type="http://schemas.openxmlformats.org/officeDocument/2006/relationships/hyperlink" Target="https://www2.scjn.gob.mx/juridica/engroses/2/2017/10/2_211192_3296_firmado.pdf" TargetMode="External"/><Relationship Id="rId39" Type="http://schemas.openxmlformats.org/officeDocument/2006/relationships/hyperlink" Target="https://registratulinea.crt.gob.mx/" TargetMode="External"/><Relationship Id="rId34" Type="http://schemas.openxmlformats.org/officeDocument/2006/relationships/hyperlink" Target="https://cloud.google.com/discover/what-is-a-neural-network?hl=es-419" TargetMode="External"/><Relationship Id="rId50" Type="http://schemas.openxmlformats.org/officeDocument/2006/relationships/hyperlink" Target="https://sjf2.scjn.gob.mx/detalle/voto/45061" TargetMode="External"/><Relationship Id="rId55" Type="http://schemas.openxmlformats.org/officeDocument/2006/relationships/hyperlink" Target="https://infosen.senado.gob.mx/sgsp/documentos/expedientes-digitales/66/2213/proceso-legislativo/2213LXVI.pdf" TargetMode="External"/><Relationship Id="rId76" Type="http://schemas.openxmlformats.org/officeDocument/2006/relationships/hyperlink" Target="https://sjf2.scjn.gob.mx/detalle/ejecutoria/27095" TargetMode="External"/><Relationship Id="rId7" Type="http://schemas.openxmlformats.org/officeDocument/2006/relationships/hyperlink" Target="https://sjf2.scjn.gob.mx/detalle/ejecutoria/33914" TargetMode="External"/><Relationship Id="rId71" Type="http://schemas.openxmlformats.org/officeDocument/2006/relationships/hyperlink" Target="https://supreme.justia.com/cases/federal/us/514/334/" TargetMode="External"/><Relationship Id="rId2" Type="http://schemas.openxmlformats.org/officeDocument/2006/relationships/hyperlink" Target="https://sjf2.scjn.gob.mx/detalle/ejecutoria/28584" TargetMode="External"/><Relationship Id="rId29" Type="http://schemas.openxmlformats.org/officeDocument/2006/relationships/hyperlink" Target="https://hudoc.echr.coe.int/spa" TargetMode="External"/><Relationship Id="rId24" Type="http://schemas.openxmlformats.org/officeDocument/2006/relationships/hyperlink" Target="https://hudoc.echr.coe.int/eng" TargetMode="External"/><Relationship Id="rId40" Type="http://schemas.openxmlformats.org/officeDocument/2006/relationships/hyperlink" Target="https://www.gsma.com/solutions-and-impact/connectivity-for-good/public-policy/wp-content/uploads/2016/04/GSMA2016_Report_MandatoryRegistrationOfPrepaidSIMCards.pdf" TargetMode="External"/><Relationship Id="rId45" Type="http://schemas.openxmlformats.org/officeDocument/2006/relationships/hyperlink" Target="https://www.xataka.com/basics/voip-que-como-funciona" TargetMode="External"/><Relationship Id="rId66" Type="http://schemas.openxmlformats.org/officeDocument/2006/relationships/hyperlink" Target="https://docs.un.org/es/A/HRC/27/37" TargetMode="External"/><Relationship Id="rId61" Type="http://schemas.openxmlformats.org/officeDocument/2006/relationships/hyperlink" Target="https://r3d.mx/2021/04/14/fiscaliaespia-la-fgradquirio-equipo-capaz-de-espiar-ilegalmente-a-todos-los-usuarios-de-internet-en-mexico/" TargetMode="External"/><Relationship Id="rId82" Type="http://schemas.openxmlformats.org/officeDocument/2006/relationships/hyperlink" Target="https://www2.scjn.gob.mx/juridica/engroses/1/2020/10/2_274520_5757_firmado.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ESvRykv5YumBzh+dQ5mo80VX9Q==">CgMxLjA4AHIhMThMX0h1cS0wWU8xUncyMlE3SU9oa0Z1TXNMdkttTmtX</go:docsCustomData>
</go:gDocsCustomXmlDataStorage>
</file>

<file path=customXml/itemProps1.xml><?xml version="1.0" encoding="utf-8"?>
<ds:datastoreItem xmlns:ds="http://schemas.openxmlformats.org/officeDocument/2006/customXml" ds:itemID="{B384CAC2-7077-4575-9662-6151D0A289B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923</TotalTime>
  <Pages>127</Pages>
  <Words>39085</Words>
  <Characters>214970</Characters>
  <DocSecurity>0</DocSecurity>
  <Lines>1791</Lines>
  <Paragraphs>507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253548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2026-07-01T00:00:00Z</dcterms:created>
  <dcterms:modified xsi:type="dcterms:W3CDTF">2026-08-17T05:06:00Z</dcterms:modified>
</cp:coreProperties>
</file>