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4A008B"/>
          <w:sz w:val="44"/>
        </w:rPr>
        <w:t>ÓPTICA MATIZ VISIÓN</w:t>
      </w:r>
    </w:p>
    <w:p>
      <w:pPr>
        <w:spacing w:before="0" w:after="360"/>
        <w:jc w:val="center"/>
      </w:pPr>
      <w:r>
        <w:rPr>
          <w:rFonts w:ascii="Calibri" w:hAnsi="Calibri"/>
          <w:i/>
          <w:color w:val="646464"/>
          <w:sz w:val="22"/>
        </w:rPr>
        <w:t>TÉRMINOS DEL SERVICIO Y POLÍTICA DE PRIVACIDAD Y PROTECCIÓN DE DATOS</w:t>
        <w:br/>
        <w:t>Conforme a la Ley N° 19.496 (SERNAC) y Ley N° 21.719 sobre Protección de Datos Personales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8FF"/>
            <w:tcBorders>
              <w:top w:val="none"/>
              <w:left w:val="single" w:sz="24" w:space="0" w:color="4A008B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4A008B"/>
                <w:sz w:val="21"/>
              </w:rPr>
              <w:t>DOCUMENTO LEGAL &amp; POLÍTICA INTEGRAL</w:t>
              <w:br/>
            </w:r>
            <w:r>
              <w:rPr>
                <w:rFonts w:ascii="Calibri" w:hAnsi="Calibri"/>
                <w:i/>
                <w:color w:val="343A40"/>
                <w:sz w:val="20"/>
              </w:rPr>
              <w:t>El presente documento regula las condiciones comerciales, operativas y clínicas aplicables a la plataforma digital y sucursales de Óptica Matiz Visión, así como el tratamiento y resguardo de datos personales y sensibles (salud visual). Fecha de entrada en vigencia: 2026.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4A008B"/>
          <w:sz w:val="30"/>
        </w:rPr>
        <w:t>PARTE I: TÉRMINOS Y CONDICIONES DEL SERVICIO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1. Disposiciones Generales e Individualización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El presente instrumento establece los términos y condiciones que rigen el uso del sitio web, comercio electrónico y servicios de agendamiento clínico de Óptica Matiz Visión (en adelante, indistintamente la 'Óptica' o la 'Empresa'), sociedad comercial constituida conforme a las leyes de la República de Chile.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La navegación, registro, adquisición de productos ópticos o agendamiento de horas clínicas a través de la plataforma confiere la condición de Usuario / Paciente e implica la aceptación irrestricta de todas las cláusulas aquí contenidas.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2. Perfiles de Usuario y Acceso a la Plataforma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La plataforma opera bajo un modelo de control de acceso basado en roles (RBAC), contemplando las siguientes categorías: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Cliente / Paciente: </w:t>
      </w:r>
      <w:r>
        <w:rPr>
          <w:rFonts w:ascii="Calibri" w:hAnsi="Calibri"/>
          <w:color w:val="343A40"/>
          <w:sz w:val="21"/>
        </w:rPr>
        <w:t>Acceso a vitrina pública, carrito de compras, registro de recetas oftalmológicas, seguimiento de órdenes y agendamiento clínico de exámenes visuales.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Vendedor / Personal Operativo: </w:t>
      </w:r>
      <w:r>
        <w:rPr>
          <w:rFonts w:ascii="Calibri" w:hAnsi="Calibri"/>
          <w:color w:val="343A40"/>
          <w:sz w:val="21"/>
        </w:rPr>
        <w:t>Personal autorizado para la gestión de sucursal, verificación de citas médicas, cambio de estado de entrega de pedidos y asesoría técnica.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Administrador: </w:t>
      </w:r>
      <w:r>
        <w:rPr>
          <w:rFonts w:ascii="Calibri" w:hAnsi="Calibri"/>
          <w:color w:val="343A40"/>
          <w:sz w:val="21"/>
        </w:rPr>
        <w:t>Gestión integral de catálogo, precios, asignación de bloques médicos a tecnólogos y auditoría del sistema.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3. Proceso de Compra, Precios e Inmutabilidad de Órdenes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Los precios exhibidos en el catálogo digital están expresados en pesos chilenos (CLP) e incluyen el Impuesto al Valor Agregado (IVA).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Creación de Orden y Reserva: </w:t>
      </w:r>
      <w:r>
        <w:rPr>
          <w:rFonts w:ascii="Calibri" w:hAnsi="Calibri"/>
          <w:color w:val="343A40"/>
          <w:sz w:val="21"/>
        </w:rPr>
        <w:t>Al confirmar el carrito de compras, el sistema genera una Orden en estado 'PENDIENTE', congelando temporalmente el stock del inventario para garantizar disponibilidad.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Inmutabilidad de Precios: </w:t>
      </w:r>
      <w:r>
        <w:rPr>
          <w:rFonts w:ascii="Calibri" w:hAnsi="Calibri"/>
          <w:color w:val="343A40"/>
          <w:sz w:val="21"/>
        </w:rPr>
        <w:t>El precio unitario de cada producto queda fijado de forma inmutable al momento de generar la orden, impidiendo cualquier reajuste o variación posterior que altere el valor acordado.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Pasarela de Pago: </w:t>
      </w:r>
      <w:r>
        <w:rPr>
          <w:rFonts w:ascii="Calibri" w:hAnsi="Calibri"/>
          <w:color w:val="343A40"/>
          <w:sz w:val="21"/>
        </w:rPr>
        <w:t>Los pagos se procesan a través de la pasarela segura Webpay Plus de Transbank. Una vez autorizado y confirmado el pago, la orden pasa al estado 'PAGADA', ejecutando el descuento definitivo del stock.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4. Política de Garantías Ópticas y Postventa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En estricto cumplimiento de la Ley N° 19.496 de Protección de los Derechos de los Consumidores y las prácticas del sector óptico, Matiz Visión contempla tres niveles de garantía: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Garantía Legal (6x3 SERNAC): </w:t>
      </w:r>
      <w:r>
        <w:rPr>
          <w:rFonts w:ascii="Calibri" w:hAnsi="Calibri"/>
          <w:color w:val="343A40"/>
          <w:sz w:val="21"/>
        </w:rPr>
        <w:t>Todo armazón cuenta con un plazo de 6 meses de garantía legal contados desde la recepción física. En caso de fallas de fabricación, piezas defectuosas o rotura de soldaduras de origen, el cliente podrá optar libremente entre la devolución del dinero, el cambio del producto o su reparación gratuita.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Garantía de Tratamientos y Cristales: </w:t>
      </w:r>
      <w:r>
        <w:rPr>
          <w:rFonts w:ascii="Calibri" w:hAnsi="Calibri"/>
          <w:color w:val="343A40"/>
          <w:sz w:val="21"/>
        </w:rPr>
        <w:t>Los tratamientos sobre cristales (antirreflejo, filtro azul y fotocromático) cuentan con una garantía de 6 a 12 meses frente a desprendimientos espontáneos o craquelado no atribuibles a calor excesivo ni productos químicos abrasivos.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Garantía de Adaptación Visual: </w:t>
      </w:r>
      <w:r>
        <w:rPr>
          <w:rFonts w:ascii="Calibri" w:hAnsi="Calibri"/>
          <w:color w:val="343A40"/>
          <w:sz w:val="21"/>
        </w:rPr>
        <w:t>Todo lente graduado confeccionado conforme a receta cuenta con un período de adaptación de 30 a 60 días corridos. Si el paciente presenta problemas de adaptación, se realizará una revisión clínica y ajuste de graduación sin costo adicional.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5. Servicios Clínicos y Agendamiento de Citas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El agendamiento para exámenes visuales y vicios de refracción se rige por las siguientes pautas: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Duración de Bloques: </w:t>
      </w:r>
      <w:r>
        <w:rPr>
          <w:rFonts w:ascii="Calibri" w:hAnsi="Calibri"/>
          <w:color w:val="343A40"/>
          <w:sz w:val="21"/>
        </w:rPr>
        <w:t>Las evaluaciones tienen una duración estimada de 15 a 30 minutos según la complejidad refractiva.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Cancelación y Reagendamiento: </w:t>
      </w:r>
      <w:r>
        <w:rPr>
          <w:rFonts w:ascii="Calibri" w:hAnsi="Calibri"/>
          <w:color w:val="343A40"/>
          <w:sz w:val="21"/>
        </w:rPr>
        <w:t>El cliente podrá modificar o anular su cita a través de la plataforma con al menos 24 horas de anticipación, liberando el bloque horario para otros pacientes.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4A008B"/>
          <w:sz w:val="30"/>
        </w:rPr>
        <w:t>PARTE II: POLÍTICA DE PRIVACIDAD Y PROTECCIÓN DE DATOS PERSONALES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1. Marco Normativo y Compromiso de Privacidad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Óptica Matiz Visión adopta rigurosos estándares de seguridad y confidencialidad en conformidad con la Ley N° 21.719 sobre Protección de Datos Personales y las normas sanitarias vigentes en Chile. Esta política describe cómo recolectamos, tratamos, protegemos y garantizamos los derechos sobre la información de nuestros usuarios y pacientes.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2. Categorías de Datos Recolectados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Para la correcta prestación de servicios comerciales y clínicos, la Empresa trata las siguientes categorías: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Datos Identificatorios y de Contacto: </w:t>
      </w:r>
      <w:r>
        <w:rPr>
          <w:rFonts w:ascii="Calibri" w:hAnsi="Calibri"/>
          <w:color w:val="343A40"/>
          <w:sz w:val="21"/>
        </w:rPr>
        <w:t>Rol Único Tributario (RUT), nombres, apellidos, correo electrónico, teléfono y dirección física de despacho.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Datos Sensibles de Salud Visual: </w:t>
      </w:r>
      <w:r>
        <w:rPr>
          <w:rFonts w:ascii="Calibri" w:hAnsi="Calibri"/>
          <w:color w:val="343A40"/>
          <w:sz w:val="21"/>
        </w:rPr>
        <w:t>Graduación oftalmológica (esferas, cilindros, ejes, adiciones, distancias pupilar), historial de recetas y observaciones clínicas emitidas por tecnólogos médicos u oftalmólogos.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Datos Transaccionales y de Trazabilidad: </w:t>
      </w:r>
      <w:r>
        <w:rPr>
          <w:rFonts w:ascii="Calibri" w:hAnsi="Calibri"/>
          <w:color w:val="343A40"/>
          <w:sz w:val="21"/>
        </w:rPr>
        <w:t>Registro de compras, estados de despacho, comprobantes de pago e historial de agendamiento clínico.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3. Carácter Sensible de la Receta Óptica y Consentimiento Explícito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En conformidad con la Ley N° 21.719, los parámetros de graduación y prescripción óptica constituyen DATOS SENSIBLES RELATIVOS A LA SALUD.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El tratamiento y almacenamiento de recetas requiere el consentimiento previo, explícito e informado del titular, el cual se otorga mediante una casilla de verificación (checkbox) independiente en el proceso de registro y agendamiento. Estos datos serán utilizados única y exclusivamente para la confección técnica de dispositivos ópticos y el seguimiento de la ficha clínica del paciente.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4. Derechos del Titular (Derechos ARCOP)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El titular de los datos personales puede ejercer en cualquier momento sus derechos ante Óptica Matiz Visión a través de los canales digitales habilitados: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Acceso: </w:t>
      </w:r>
      <w:r>
        <w:rPr>
          <w:rFonts w:ascii="Calibri" w:hAnsi="Calibri"/>
          <w:color w:val="343A40"/>
          <w:sz w:val="21"/>
        </w:rPr>
        <w:t>Derecho a conocer qué datos personales y antecedentes clínicos se encuentran almacenados en nuestros sistemas.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Rectificación: </w:t>
      </w:r>
      <w:r>
        <w:rPr>
          <w:rFonts w:ascii="Calibri" w:hAnsi="Calibri"/>
          <w:color w:val="343A40"/>
          <w:sz w:val="21"/>
        </w:rPr>
        <w:t>Derecho a solicitar la corrección de datos inexactos, incompletos o desactualizados.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Cancelación / Supresión: </w:t>
      </w:r>
      <w:r>
        <w:rPr>
          <w:rFonts w:ascii="Calibri" w:hAnsi="Calibri"/>
          <w:color w:val="343A40"/>
          <w:sz w:val="21"/>
        </w:rPr>
        <w:t>Derecho a solicitar el borrado de sus datos personales cuando hayan dejado de ser necesarios para los fines contratados, con excepción de las recetas que deban conservarse por disposición reglamentaria sanitaria.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Oposición: </w:t>
      </w:r>
      <w:r>
        <w:rPr>
          <w:rFonts w:ascii="Calibri" w:hAnsi="Calibri"/>
          <w:color w:val="343A40"/>
          <w:sz w:val="21"/>
        </w:rPr>
        <w:t>Derecho a oponerse al tratamiento de datos para fines no esenciales, tales como comunicaciones comerciales o de marketing.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Portabilidad: </w:t>
      </w:r>
      <w:r>
        <w:rPr>
          <w:rFonts w:ascii="Calibri" w:hAnsi="Calibri"/>
          <w:color w:val="343A40"/>
          <w:sz w:val="21"/>
        </w:rPr>
        <w:t>Derecho a solicitar una copia de su historial de recetas y datos de perfil en un formato estructurado, interoperable y de lectura mecánica.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5. Medidas de Seguridad de la Información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Óptica Matiz Visión implementa medidas técnicas y organizativas para resguardar la confidencialidad e integridad de la información: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Cifrado en Tránsito: </w:t>
      </w:r>
      <w:r>
        <w:rPr>
          <w:rFonts w:ascii="Calibri" w:hAnsi="Calibri"/>
          <w:color w:val="343A40"/>
          <w:sz w:val="21"/>
        </w:rPr>
        <w:t>Todas las comunicaciones entre el usuario y la plataforma están encriptadas mediante protocolo HTTPS con certificados TLS vigentes.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Protección de Credenciales: </w:t>
      </w:r>
      <w:r>
        <w:rPr>
          <w:rFonts w:ascii="Calibri" w:hAnsi="Calibri"/>
          <w:color w:val="343A40"/>
          <w:sz w:val="21"/>
        </w:rPr>
        <w:t>Las contraseñas se almacenan mediante algoritmos de derivación de claves criptográficas seguras (PBKDF2/SHA-256).</w:t>
      </w:r>
    </w:p>
    <w:p>
      <w:pPr>
        <w:pStyle w:val="ListBullet"/>
        <w:spacing w:after="80" w:before="0" w:line="276" w:lineRule="auto"/>
      </w:pPr>
      <w:r>
        <w:rPr>
          <w:rFonts w:ascii="Calibri" w:hAnsi="Calibri"/>
          <w:b/>
          <w:color w:val="343A40"/>
          <w:sz w:val="21"/>
        </w:rPr>
        <w:t xml:space="preserve">Auditoría y Control de Acceso: </w:t>
      </w:r>
      <w:r>
        <w:rPr>
          <w:rFonts w:ascii="Calibri" w:hAnsi="Calibri"/>
          <w:color w:val="343A40"/>
          <w:sz w:val="21"/>
        </w:rPr>
        <w:t>La plataforma registra trazas de acceso sobre la visualización o modificación de antecedentes médicos y transacciones comerciales.</w:t>
      </w:r>
    </w:p>
    <w:p>
      <w:pPr>
        <w:keepNext/>
        <w:spacing w:before="240" w:after="80"/>
      </w:pPr>
      <w:r>
        <w:rPr>
          <w:rFonts w:ascii="Arial" w:hAnsi="Arial"/>
          <w:b/>
          <w:color w:val="7B1FA2"/>
          <w:sz w:val="25"/>
        </w:rPr>
        <w:t>6. Contacto y Canal de Ejercicio de Derechos</w:t>
      </w:r>
    </w:p>
    <w:p>
      <w:pPr>
        <w:spacing w:after="120" w:line="276" w:lineRule="auto"/>
      </w:pPr>
      <w:r>
        <w:rPr>
          <w:rFonts w:ascii="Calibri" w:hAnsi="Calibri"/>
          <w:color w:val="343A40"/>
          <w:sz w:val="22"/>
        </w:rPr>
        <w:t>Para ejercer los derechos ARCOP, solicitar aclaraciones o reportar incidencias relativas a la privacidad, el titular puede contactar al Responsable de Protección de Datos al correo: privacidad@matizvision.cl o en las oficinas de sucursal central.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