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160" w:before="0"/>
        <w:jc w:val="center"/>
      </w:pPr>
      <w:r>
        <w:rPr>
          <w:rFonts w:ascii="Arial" w:cs="Arial" w:eastAsia="Arial" w:hAnsi="Arial"/>
          <w:b/>
          <w:bCs/>
          <w:color w:val="1F3864"/>
          <w:sz w:val="40"/>
          <w:szCs w:val="40"/>
        </w:rPr>
        <w:t xml:space="preserve">JUSTIFICACIÓN DE LAS RENTABILIDADES ANUALIZADAS</w:t>
      </w:r>
    </w:p>
    <w:p>
      <w:pPr>
        <w:spacing w:after="80" w:before="0"/>
        <w:jc w:val="center"/>
      </w:pPr>
      <w:r>
        <w:rPr>
          <w:rFonts w:ascii="Arial" w:cs="Arial" w:eastAsia="Arial" w:hAnsi="Arial"/>
          <w:i/>
          <w:iCs/>
          <w:color w:val="2E5496"/>
          <w:sz w:val="28"/>
          <w:szCs w:val="28"/>
        </w:rPr>
        <w:t xml:space="preserve">Modelo de Optimización de Portafolios mediante LSTM</w:t>
      </w:r>
    </w:p>
    <w:p>
      <w:pPr>
        <w:spacing w:after="480" w:before="0"/>
        <w:jc w:val="center"/>
      </w:pPr>
      <w:r>
        <w:rPr>
          <w:rFonts w:ascii="Arial" w:cs="Arial" w:eastAsia="Arial" w:hAnsi="Arial"/>
          <w:color w:val="666666"/>
          <w:sz w:val="22"/>
          <w:szCs w:val="22"/>
        </w:rPr>
        <w:t xml:space="preserve">Zhang, Zohren &amp; Roberts (2020) — Replicación</w:t>
      </w:r>
    </w:p>
    <w:p>
      <w:pPr>
        <w:pBdr>
          <w:bottom w:val="single" w:color="2E5496" w:sz="6" w:space="1"/>
        </w:pBdr>
        <w:spacing w:after="160" w:before="160"/>
      </w:pPr>
    </w:p>
    <w:p>
      <w:pPr>
        <w:spacing w:after="480" w:before="0"/>
      </w:pPr>
    </w:p>
    <w:p>
      <w:pPr>
        <w:pStyle w:val="Heading1"/>
      </w:pPr>
      <w:r>
        <w:rPr>
          <w:rFonts w:ascii="Arial" w:cs="Arial" w:eastAsia="Arial" w:hAnsi="Arial"/>
          <w:b/>
          <w:bCs/>
          <w:color w:val="1F3864"/>
          <w:sz w:val="32"/>
          <w:szCs w:val="32"/>
        </w:rPr>
        <w:t xml:space="preserve">1. Introducción</w:t>
      </w:r>
    </w:p>
    <w:p>
      <w:pPr>
        <w:spacing w:after="160" w:before="0"/>
      </w:pPr>
      <w:r>
        <w:rPr>
          <w:rFonts w:ascii="Arial" w:cs="Arial" w:eastAsia="Arial" w:hAnsi="Arial"/>
          <w:sz w:val="24"/>
          <w:szCs w:val="24"/>
        </w:rPr>
        <w:t xml:space="preserve">El presente documento analiza los factores que explican las rentabilidades anualizadas obtenidas en la implementación del modelo de optimización de portafolios basado en redes neuronales recurrentes de tipo LSTM, siguiendo la metodología propuesta por </w:t>
      </w:r>
      <w:r>
        <w:rPr>
          <w:rFonts w:ascii="Arial" w:cs="Arial" w:eastAsia="Arial" w:hAnsi="Arial"/>
          <w:i/>
          <w:iCs/>
          <w:sz w:val="24"/>
          <w:szCs w:val="24"/>
        </w:rPr>
        <w:t xml:space="preserve">Zhang, Zohren &amp; Roberts (2020)</w:t>
      </w:r>
      <w:r>
        <w:rPr>
          <w:rFonts w:ascii="Arial" w:cs="Arial" w:eastAsia="Arial" w:hAnsi="Arial"/>
          <w:sz w:val="24"/>
          <w:szCs w:val="24"/>
        </w:rPr>
        <w:t xml:space="preserve">. El modelo fue aplicado sobre un universo de nueve activos —cuatro colombianos (ECOPETROL.CL, GEB.CL, PFCIBEST.CL, CIBEST.CL, BVC.CL) y cuatro estadounidenses (GOOGL, AAPL, NKE, IVV)— en el período comprendido entre enero de 2015 y mayo de 2026, con precios convertidos a pesos colombianos (COP).</w:t>
      </w:r>
    </w:p>
    <w:p>
      <w:pPr>
        <w:spacing w:after="160" w:before="0"/>
      </w:pPr>
      <w:r>
        <w:rPr>
          <w:rFonts w:ascii="Arial" w:cs="Arial" w:eastAsia="Arial" w:hAnsi="Arial"/>
          <w:sz w:val="24"/>
          <w:szCs w:val="24"/>
        </w:rPr>
        <w:t xml:space="preserve">Los retornos anualizados reportados superan los promedios históricos convencionales, lo cual puede interpretarse erróneamente como evidencia de alpha genuino. Sin embargo, un análisis riguroso revela que dichas cifras están acompañadas de niveles de volatilidad que las hacen estadísticamente inciertas, y que responden a factores estructurales del período analizado. Este documento ofrece una justificación que abarca tanto la corrección matemática de las métricas como la incertidumbre estadística inherente a ellas.</w:t>
      </w:r>
    </w:p>
    <w:p>
      <w:pPr>
        <w:pBdr>
          <w:bottom w:val="single" w:color="2E5496" w:sz="6" w:space="1"/>
        </w:pBdr>
        <w:spacing w:after="160" w:before="160"/>
      </w:pPr>
    </w:p>
    <w:p>
      <w:pPr>
        <w:pStyle w:val="Heading2"/>
      </w:pPr>
      <w:r>
        <w:rPr>
          <w:rFonts w:ascii="Arial" w:cs="Arial" w:eastAsia="Arial" w:hAnsi="Arial"/>
          <w:b/>
          <w:bCs/>
          <w:color w:val="2E5496"/>
          <w:sz w:val="28"/>
          <w:szCs w:val="28"/>
        </w:rPr>
        <w:t xml:space="preserve">2. Justificación Matemática del Retorno Anualizado</w:t>
      </w:r>
    </w:p>
    <w:p>
      <w:pPr>
        <w:pStyle w:val="Heading3"/>
      </w:pPr>
      <w:r>
        <w:rPr>
          <w:rFonts w:ascii="Arial" w:cs="Arial" w:eastAsia="Arial" w:hAnsi="Arial"/>
          <w:b/>
          <w:bCs/>
          <w:color w:val="444444"/>
          <w:sz w:val="24"/>
          <w:szCs w:val="24"/>
        </w:rPr>
        <w:t xml:space="preserve">2.1 Tres estimadores del retorno anual</w:t>
      </w:r>
    </w:p>
    <w:p>
      <w:pPr>
        <w:spacing w:after="120" w:before="0"/>
      </w:pPr>
      <w:r>
        <w:rPr>
          <w:rFonts w:ascii="Arial" w:cs="Arial" w:eastAsia="Arial" w:hAnsi="Arial"/>
          <w:sz w:val="24"/>
          <w:szCs w:val="24"/>
        </w:rPr>
        <w:t xml:space="preserve">Dado un vector de retornos diarios del portafolio rₚ = (rₚ,₁, …, rₚ,T) con T observaciones, existen tres estimadores habituales: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26"/>
        <w:gridCol w:w="2700"/>
      </w:tblGrid>
      <w:tr>
        <w:tc>
          <w:tcPr>
            <w:tcW w:type="dxa" w:w="28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Estimador</w:t>
            </w:r>
          </w:p>
        </w:tc>
        <w:tc>
          <w:tcPr>
            <w:tcW w:type="dxa" w:w="352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Fórmula</w:t>
            </w:r>
          </w:p>
        </w:tc>
        <w:tc>
          <w:tcPr>
            <w:tcW w:type="dxa" w:w="27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Característica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Aritmético lineal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μₐ × 252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Sin compuesto. Subestima para retornos diarios.</w:t>
            </w:r>
          </w:p>
        </w:tc>
      </w:tr>
      <w:tr>
        <w:tc>
          <w:tcPr>
            <w:tcW w:type="dxa" w:w="2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jc w:val="left"/>
            </w:pPr>
            <w:r>
              <w:rPr>
                <w:rFonts w:ascii="Arial" w:cs="Arial" w:eastAsia="Arial" w:hAnsi="Arial"/>
                <w:sz w:val="22"/>
                <w:szCs w:val="22"/>
              </w:rPr>
              <w:t xml:space="preserve">Escalar compuesto</w:t>
            </w:r>
          </w:p>
        </w:tc>
        <w:tc>
          <w:tcPr>
            <w:tcW w:type="dxa" w:w="3526"/>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jc w:val="left"/>
            </w:pPr>
            <w:r>
              <w:rPr>
                <w:rFonts w:ascii="Arial" w:cs="Arial" w:eastAsia="Arial" w:hAnsi="Arial"/>
                <w:sz w:val="22"/>
                <w:szCs w:val="22"/>
              </w:rPr>
              <w:t xml:space="preserve">(1 + μₐ)^252 − 1</w:t>
            </w:r>
          </w:p>
        </w:tc>
        <w:tc>
          <w:tcPr>
            <w:tcW w:type="dxa" w:w="27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jc w:val="left"/>
            </w:pPr>
            <w:r>
              <w:rPr>
                <w:rFonts w:ascii="Arial" w:cs="Arial" w:eastAsia="Arial" w:hAnsi="Arial"/>
                <w:sz w:val="22"/>
                <w:szCs w:val="22"/>
              </w:rPr>
              <w:t xml:space="preserve">Ignora dispersión. Sobreestima con alta volatilidad.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CAGR geométrico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 + rₚ,t)^(252/T) − 1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Estimador correcto: incorpora compuesto y dispersión.</w:t>
            </w:r>
          </w:p>
        </w:tc>
      </w:tr>
    </w:tbl>
    <w:p>
      <w:pPr>
        <w:spacing w:after="0" w:before="120"/>
      </w:pPr>
    </w:p>
    <w:p>
      <w:pPr>
        <w:pStyle w:val="Heading3"/>
      </w:pPr>
      <w:r>
        <w:rPr>
          <w:rFonts w:ascii="Arial" w:cs="Arial" w:eastAsia="Arial" w:hAnsi="Arial"/>
          <w:b/>
          <w:bCs/>
          <w:color w:val="444444"/>
          <w:sz w:val="24"/>
          <w:szCs w:val="24"/>
        </w:rPr>
        <w:t xml:space="preserve">2.2 El variance drag y su efecto compensado</w:t>
      </w:r>
    </w:p>
    <w:p>
      <w:pPr>
        <w:spacing w:after="80" w:before="0"/>
      </w:pPr>
      <w:r>
        <w:rPr>
          <w:rFonts w:ascii="Arial" w:cs="Arial" w:eastAsia="Arial" w:hAnsi="Arial"/>
          <w:sz w:val="24"/>
          <w:szCs w:val="24"/>
        </w:rPr>
        <w:t xml:space="preserve">El </w:t>
      </w:r>
      <w:r>
        <w:rPr>
          <w:rFonts w:ascii="Arial" w:cs="Arial" w:eastAsia="Arial" w:hAnsi="Arial"/>
          <w:i/>
          <w:iCs/>
          <w:sz w:val="24"/>
          <w:szCs w:val="24"/>
        </w:rPr>
        <w:t xml:space="preserve">variance drag</w:t>
      </w:r>
      <w:r>
        <w:rPr>
          <w:rFonts w:ascii="Arial" w:cs="Arial" w:eastAsia="Arial" w:hAnsi="Arial"/>
          <w:sz w:val="24"/>
          <w:szCs w:val="24"/>
        </w:rPr>
        <w:t xml:space="preserve"> establece que la tasa de crecimiento geométrica es sistemáticamente inferior a la aritmética:</w:t>
      </w:r>
    </w:p>
    <w:p>
      <w:pPr>
        <w:pBdr>
          <w:left w:val="single" w:color="2E5496" w:sz="12" w:space="10"/>
        </w:pBdr>
        <w:spacing w:after="80" w:before="80"/>
        <w:ind w:left="720" w:right="720"/>
        <w:jc w:val="center"/>
      </w:pPr>
      <w:r>
        <w:rPr>
          <w:rFonts w:ascii="Courier New" w:cs="Courier New" w:eastAsia="Courier New" w:hAnsi="Courier New"/>
          <w:color w:val="1F3864"/>
          <w:sz w:val="22"/>
          <w:szCs w:val="22"/>
        </w:rPr>
        <w:t xml:space="preserve">CAGR ≈ μ · 252 − (½) · σ² · 252</w:t>
      </w:r>
    </w:p>
    <w:p>
      <w:pPr>
        <w:spacing w:after="160" w:before="120"/>
      </w:pPr>
      <w:r>
        <w:rPr>
          <w:rFonts w:ascii="Arial" w:cs="Arial" w:eastAsia="Arial" w:hAnsi="Arial"/>
          <w:sz w:val="24"/>
          <w:szCs w:val="24"/>
        </w:rPr>
        <w:t xml:space="preserve">Para el portafolio de mínima varianza (σₐ ≈ 1.03%), el arrastre es ≈ 1.34% anual. Sin embargo, el estimador μ × 252 también subestima por no modelar el efecto compuesto, por lo que el CAGR geométrico puede resultar ligeramente superior al estimador aritmético lineal para retornos diarios moderados. Esto explica los incrementos marginales observados al corregir la fórmula (de 34.80% a 35.22% para el portafolio Kelly).</w:t>
      </w:r>
    </w:p>
    <w:p>
      <w:pPr>
        <w:pBdr>
          <w:bottom w:val="single" w:color="2E5496" w:sz="6" w:space="1"/>
        </w:pBdr>
        <w:spacing w:after="160" w:before="160"/>
      </w:pPr>
    </w:p>
    <w:p>
      <w:pPr>
        <w:pStyle w:val="Heading2"/>
      </w:pPr>
      <w:r>
        <w:rPr>
          <w:rFonts w:ascii="Arial" w:cs="Arial" w:eastAsia="Arial" w:hAnsi="Arial"/>
          <w:b/>
          <w:bCs/>
          <w:color w:val="2E5496"/>
          <w:sz w:val="28"/>
          <w:szCs w:val="28"/>
        </w:rPr>
        <w:t xml:space="preserve">3. Alta Volatilidad e Incertidumbre Estadística de las Métricas</w:t>
      </w:r>
    </w:p>
    <w:p>
      <w:pPr>
        <w:spacing w:after="160" w:before="0"/>
      </w:pPr>
      <w:r>
        <w:rPr>
          <w:rFonts w:ascii="Arial" w:cs="Arial" w:eastAsia="Arial" w:hAnsi="Arial"/>
          <w:sz w:val="24"/>
          <w:szCs w:val="24"/>
        </w:rPr>
        <w:t xml:space="preserve">Un aspecto crítico frecuentemente omitido en la presentación de resultados de backtesting es que las métricas de rentabilidad y riesgo son </w:t>
      </w:r>
      <w:r>
        <w:rPr>
          <w:rFonts w:ascii="Arial" w:cs="Arial" w:eastAsia="Arial" w:hAnsi="Arial"/>
          <w:i/>
          <w:iCs/>
          <w:sz w:val="24"/>
          <w:szCs w:val="24"/>
        </w:rPr>
        <w:t xml:space="preserve">estimadores estadísticos</w:t>
      </w:r>
      <w:r>
        <w:rPr>
          <w:rFonts w:ascii="Arial" w:cs="Arial" w:eastAsia="Arial" w:hAnsi="Arial"/>
          <w:sz w:val="24"/>
          <w:szCs w:val="24"/>
        </w:rPr>
        <w:t xml:space="preserve">, sujetos a incertidumbre muestral. Cuando la volatilidad anual es comparable en magnitud al retorno anual, esta incertidumbre es tan grande que el intervalo de confianza del retorno esperado incluye escenarios muy dispares.</w:t>
      </w:r>
    </w:p>
    <w:p>
      <w:pPr>
        <w:pStyle w:val="Heading3"/>
      </w:pPr>
      <w:r>
        <w:rPr>
          <w:rFonts w:ascii="Arial" w:cs="Arial" w:eastAsia="Arial" w:hAnsi="Arial"/>
          <w:b/>
          <w:bCs/>
          <w:color w:val="444444"/>
          <w:sz w:val="24"/>
          <w:szCs w:val="24"/>
        </w:rPr>
        <w:t xml:space="preserve">3.1 El coeficiente de variación como señal de alarma</w:t>
      </w:r>
    </w:p>
    <w:p>
      <w:pPr>
        <w:spacing w:after="80" w:before="0"/>
      </w:pPr>
      <w:r>
        <w:rPr>
          <w:rFonts w:ascii="Arial" w:cs="Arial" w:eastAsia="Arial" w:hAnsi="Arial"/>
          <w:sz w:val="24"/>
          <w:szCs w:val="24"/>
        </w:rPr>
        <w:t xml:space="preserve">El coeficiente de variación (CV) relaciona la volatilidad anual con el retorno anual esperado:</w:t>
      </w:r>
    </w:p>
    <w:p>
      <w:pPr>
        <w:pBdr>
          <w:left w:val="single" w:color="2E5496" w:sz="12" w:space="10"/>
        </w:pBdr>
        <w:spacing w:after="80" w:before="80"/>
        <w:ind w:left="720" w:right="720"/>
        <w:jc w:val="center"/>
      </w:pPr>
      <w:r>
        <w:rPr>
          <w:rFonts w:ascii="Courier New" w:cs="Courier New" w:eastAsia="Courier New" w:hAnsi="Courier New"/>
          <w:color w:val="1F3864"/>
          <w:sz w:val="22"/>
          <w:szCs w:val="22"/>
        </w:rPr>
        <w:t xml:space="preserve">CV = σ_anual / μ_anual</w:t>
      </w:r>
    </w:p>
    <w:p>
      <w:pPr>
        <w:spacing w:after="160" w:before="120"/>
      </w:pPr>
      <w:r>
        <w:rPr>
          <w:rFonts w:ascii="Arial" w:cs="Arial" w:eastAsia="Arial" w:hAnsi="Arial"/>
          <w:sz w:val="24"/>
          <w:szCs w:val="24"/>
        </w:rPr>
        <w:t xml:space="preserve">Para el portafolio Kelly (τ = 2), con retorno anual ≈ 35.2% y volatilidad anual ≈ 31.6%, el CV es aproximadamente 0.90. Un CV cercano a 1 indica que la dispersión de los resultados posibles es del mismo orden de magnitud que el retorno esperado: el retorno realizado en cualquier año individual puede diferir enormemente de la estimación puntual.</w:t>
      </w:r>
    </w:p>
    <w:p>
      <w:pPr>
        <w:pStyle w:val="Heading3"/>
      </w:pPr>
      <w:r>
        <w:rPr>
          <w:rFonts w:ascii="Arial" w:cs="Arial" w:eastAsia="Arial" w:hAnsi="Arial"/>
          <w:b/>
          <w:bCs/>
          <w:color w:val="444444"/>
          <w:sz w:val="24"/>
          <w:szCs w:val="24"/>
        </w:rPr>
        <w:t xml:space="preserve">3.2 Intervalos de confianza del retorno anual</w:t>
      </w:r>
    </w:p>
    <w:p>
      <w:pPr>
        <w:spacing w:after="80" w:before="0"/>
      </w:pPr>
      <w:r>
        <w:rPr>
          <w:rFonts w:ascii="Arial" w:cs="Arial" w:eastAsia="Arial" w:hAnsi="Arial"/>
          <w:sz w:val="24"/>
          <w:szCs w:val="24"/>
        </w:rPr>
        <w:t xml:space="preserve">Bajo el supuesto de retornos diarios aproximadamente normales (simplificación estándar), el retorno anual de un portafolio con μ_anual y σ_anual sigue aproximadamente:</w:t>
      </w:r>
    </w:p>
    <w:p>
      <w:pPr>
        <w:pBdr>
          <w:left w:val="single" w:color="2E5496" w:sz="12" w:space="10"/>
        </w:pBdr>
        <w:spacing w:after="80" w:before="80"/>
        <w:ind w:left="720" w:right="720"/>
        <w:jc w:val="center"/>
      </w:pPr>
      <w:r>
        <w:rPr>
          <w:rFonts w:ascii="Courier New" w:cs="Courier New" w:eastAsia="Courier New" w:hAnsi="Courier New"/>
          <w:color w:val="1F3864"/>
          <w:sz w:val="22"/>
          <w:szCs w:val="22"/>
        </w:rPr>
        <w:t xml:space="preserve">R_anual ~ N(μ_anual, σ_anual²)</w:t>
      </w:r>
    </w:p>
    <w:p>
      <w:pPr>
        <w:spacing w:after="100" w:before="80"/>
      </w:pPr>
      <w:r>
        <w:rPr>
          <w:rFonts w:ascii="Arial" w:cs="Arial" w:eastAsia="Arial" w:hAnsi="Arial"/>
          <w:sz w:val="24"/>
          <w:szCs w:val="24"/>
        </w:rPr>
        <w:t xml:space="preserve">Los rangos de retorno esperado para un año arbitrario, para el portafolio Kelly, 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c>
          <w:tcPr>
            <w:tcW w:type="dxa" w:w="3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Portafolio</w:t>
            </w:r>
          </w:p>
        </w:tc>
        <w:tc>
          <w:tcPr>
            <w:tcW w:type="dxa" w:w="20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Ret. anual (CAGR)</w:t>
            </w:r>
          </w:p>
        </w:tc>
        <w:tc>
          <w:tcPr>
            <w:tcW w:type="dxa" w:w="20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Vol. anual</w:t>
            </w:r>
          </w:p>
        </w:tc>
        <w:tc>
          <w:tcPr>
            <w:tcW w:type="dxa" w:w="2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Rango 1σ (68%)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Min-Vol (Markowitz)</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~18%</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~15.8%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 34%]</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jc w:val="left"/>
            </w:pPr>
            <w:r>
              <w:rPr>
                <w:rFonts w:ascii="Arial" w:cs="Arial" w:eastAsia="Arial" w:hAnsi="Arial"/>
                <w:sz w:val="22"/>
                <w:szCs w:val="22"/>
              </w:rPr>
              <w:t xml:space="preserve">CVaR-min 95%</w:t>
            </w:r>
          </w:p>
        </w:tc>
        <w:tc>
          <w:tcPr>
            <w:tcW w:type="dxa" w:w="2013"/>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jc w:val="left"/>
            </w:pPr>
            <w:r>
              <w:rPr>
                <w:rFonts w:ascii="Arial" w:cs="Arial" w:eastAsia="Arial" w:hAnsi="Arial"/>
                <w:sz w:val="22"/>
                <w:szCs w:val="22"/>
              </w:rPr>
              <w:t xml:space="preserve">~18%</w:t>
            </w:r>
          </w:p>
        </w:tc>
        <w:tc>
          <w:tcPr>
            <w:tcW w:type="dxa" w:w="2013"/>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jc w:val="left"/>
            </w:pPr>
            <w:r>
              <w:rPr>
                <w:rFonts w:ascii="Arial" w:cs="Arial" w:eastAsia="Arial" w:hAnsi="Arial"/>
                <w:sz w:val="22"/>
                <w:szCs w:val="22"/>
              </w:rPr>
              <w:t xml:space="preserve">~15.9%</w:t>
            </w:r>
          </w:p>
        </w:tc>
        <w:tc>
          <w:tcPr>
            <w:tcW w:type="dxa" w:w="2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jc w:val="left"/>
            </w:pPr>
            <w:r>
              <w:rPr>
                <w:rFonts w:ascii="Arial" w:cs="Arial" w:eastAsia="Arial" w:hAnsi="Arial"/>
                <w:sz w:val="22"/>
                <w:szCs w:val="22"/>
              </w:rPr>
              <w:t xml:space="preserve">[2%, 34%]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LSTM WF (k=50)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~16.7%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 37%]</w:t>
            </w:r>
          </w:p>
        </w:tc>
      </w:tr>
      <w:tr>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2"/>
                <w:szCs w:val="22"/>
              </w:rPr>
              <w:t xml:space="preserve">Kelly (τ=2)</w:t>
            </w:r>
          </w:p>
        </w:tc>
        <w:tc>
          <w:tcPr>
            <w:tcW w:type="dxa" w:w="2013"/>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2"/>
                <w:szCs w:val="22"/>
              </w:rPr>
              <w:t xml:space="preserve">~35%</w:t>
            </w:r>
          </w:p>
        </w:tc>
        <w:tc>
          <w:tcPr>
            <w:tcW w:type="dxa" w:w="2013"/>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2"/>
                <w:szCs w:val="22"/>
              </w:rPr>
              <w:t xml:space="preserve">~31.6%</w:t>
            </w:r>
          </w:p>
        </w:tc>
        <w:tc>
          <w:tcPr>
            <w:tcW w:type="dxa" w:w="20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rFonts w:ascii="Arial" w:cs="Arial" w:eastAsia="Arial" w:hAnsi="Arial"/>
                <w:b/>
                <w:bCs/>
                <w:sz w:val="22"/>
                <w:szCs w:val="22"/>
              </w:rPr>
              <w:t xml:space="preserve">[3%, 67%]</w:t>
            </w:r>
          </w:p>
        </w:tc>
      </w:tr>
    </w:tbl>
    <w:p>
      <w:pPr>
        <w:spacing w:after="0" w:before="120"/>
      </w:pPr>
    </w:p>
    <w:p>
      <w:pPr>
        <w:spacing w:after="160" w:before="120"/>
      </w:pPr>
      <w:r>
        <w:rPr>
          <w:rFonts w:ascii="Arial" w:cs="Arial" w:eastAsia="Arial" w:hAnsi="Arial"/>
          <w:sz w:val="24"/>
          <w:szCs w:val="24"/>
        </w:rPr>
        <w:t xml:space="preserve">Para el portafolio Kelly, el rango de un año al nivel de confianza del 68% es </w:t>
      </w:r>
      <w:r>
        <w:rPr>
          <w:rFonts w:ascii="Arial" w:cs="Arial" w:eastAsia="Arial" w:hAnsi="Arial"/>
          <w:b/>
          <w:bCs/>
          <w:sz w:val="24"/>
          <w:szCs w:val="24"/>
        </w:rPr>
        <w:t xml:space="preserve">[3%, 67%]</w:t>
      </w:r>
      <w:r>
        <w:rPr>
          <w:rFonts w:ascii="Arial" w:cs="Arial" w:eastAsia="Arial" w:hAnsi="Arial"/>
          <w:sz w:val="24"/>
          <w:szCs w:val="24"/>
        </w:rPr>
        <w:t xml:space="preserve">. Al nivel del 95% (dos desviaciones estándar), el rango se amplía a </w:t>
      </w:r>
      <w:r>
        <w:rPr>
          <w:rFonts w:ascii="Arial" w:cs="Arial" w:eastAsia="Arial" w:hAnsi="Arial"/>
          <w:b/>
          <w:bCs/>
          <w:sz w:val="24"/>
          <w:szCs w:val="24"/>
        </w:rPr>
        <w:t xml:space="preserve">[−28%, 98%]</w:t>
      </w:r>
      <w:r>
        <w:rPr>
          <w:rFonts w:ascii="Arial" w:cs="Arial" w:eastAsia="Arial" w:hAnsi="Arial"/>
          <w:sz w:val="24"/>
          <w:szCs w:val="24"/>
        </w:rPr>
        <w:t xml:space="preserve">. Esto significa que en un año desfavorable —sin que el modelo esté "equivocado"— el portafolio puede perder hasta un 28% de su valor, y en uno favorable puede ganar hasta un 98%. La cifra de 35% de CAGR es la </w:t>
      </w:r>
      <w:r>
        <w:rPr>
          <w:rFonts w:ascii="Arial" w:cs="Arial" w:eastAsia="Arial" w:hAnsi="Arial"/>
          <w:i/>
          <w:iCs/>
          <w:sz w:val="24"/>
          <w:szCs w:val="24"/>
        </w:rPr>
        <w:t xml:space="preserve">esperanza matemática</w:t>
      </w:r>
      <w:r>
        <w:rPr>
          <w:rFonts w:ascii="Arial" w:cs="Arial" w:eastAsia="Arial" w:hAnsi="Arial"/>
          <w:sz w:val="24"/>
          <w:szCs w:val="24"/>
        </w:rPr>
        <w:t xml:space="preserve">, no el resultado garantizado.</w:t>
      </w:r>
    </w:p>
    <w:p>
      <w:pPr>
        <w:pStyle w:val="Heading3"/>
      </w:pPr>
      <w:r>
        <w:rPr>
          <w:rFonts w:ascii="Arial" w:cs="Arial" w:eastAsia="Arial" w:hAnsi="Arial"/>
          <w:b/>
          <w:bCs/>
          <w:color w:val="444444"/>
          <w:sz w:val="24"/>
          <w:szCs w:val="24"/>
        </w:rPr>
        <w:t xml:space="preserve">3.3 Incertidumbre del Sharpe ratio (estadístico de Lo, 2002)</w:t>
      </w:r>
    </w:p>
    <w:p>
      <w:pPr>
        <w:spacing w:after="80" w:before="0"/>
      </w:pPr>
      <w:r>
        <w:rPr>
          <w:rFonts w:ascii="Arial" w:cs="Arial" w:eastAsia="Arial" w:hAnsi="Arial"/>
          <w:sz w:val="24"/>
          <w:szCs w:val="24"/>
        </w:rPr>
        <w:t xml:space="preserve">El Sharpe ratio es en sí mismo un estimador estadístico con su propia varianza muestral. Lo (2002) derivó el error estándar del Sharpe ratio anualizado bajo retornos i.i.d.:</w:t>
      </w:r>
    </w:p>
    <w:p>
      <w:pPr>
        <w:pBdr>
          <w:left w:val="single" w:color="2E5496" w:sz="12" w:space="10"/>
        </w:pBdr>
        <w:spacing w:after="80" w:before="80"/>
        <w:ind w:left="720" w:right="720"/>
        <w:jc w:val="center"/>
      </w:pPr>
      <w:r>
        <w:rPr>
          <w:rFonts w:ascii="Courier New" w:cs="Courier New" w:eastAsia="Courier New" w:hAnsi="Courier New"/>
          <w:color w:val="1F3864"/>
          <w:sz w:val="22"/>
          <w:szCs w:val="22"/>
        </w:rPr>
        <w:t xml:space="preserve">SE(Sₐ) ≈ √[(1 + Sₐ²/2) / T_años]</w:t>
      </w:r>
    </w:p>
    <w:p>
      <w:pPr>
        <w:spacing w:after="80" w:before="80"/>
      </w:pPr>
      <w:r>
        <w:rPr>
          <w:rFonts w:ascii="Arial" w:cs="Arial" w:eastAsia="Arial" w:hAnsi="Arial"/>
          <w:sz w:val="24"/>
          <w:szCs w:val="24"/>
        </w:rPr>
        <w:t xml:space="preserve">donde Sₐ es el Sharpe ratio anualizado y T_años el número de años de datos. Para el período analizado (T ≈ 11 años) y el portafolio Kelly (Sₐ ≈ 1.10):</w:t>
      </w:r>
    </w:p>
    <w:p>
      <w:pPr>
        <w:pBdr>
          <w:left w:val="single" w:color="2E5496" w:sz="12" w:space="10"/>
        </w:pBdr>
        <w:spacing w:after="80" w:before="80"/>
        <w:ind w:left="720" w:right="720"/>
        <w:jc w:val="center"/>
      </w:pPr>
      <w:r>
        <w:rPr>
          <w:rFonts w:ascii="Courier New" w:cs="Courier New" w:eastAsia="Courier New" w:hAnsi="Courier New"/>
          <w:color w:val="1F3864"/>
          <w:sz w:val="22"/>
          <w:szCs w:val="22"/>
        </w:rPr>
        <w:t xml:space="preserve">SE(Sₐ) ≈ √[(1 + 1.10²/2) / 11] ≈ 0.38</w:t>
      </w:r>
    </w:p>
    <w:p>
      <w:pPr>
        <w:spacing w:after="80" w:before="80"/>
      </w:pPr>
      <w:r>
        <w:rPr>
          <w:rFonts w:ascii="Arial" w:cs="Arial" w:eastAsia="Arial" w:hAnsi="Arial"/>
          <w:sz w:val="24"/>
          <w:szCs w:val="24"/>
        </w:rPr>
        <w:t xml:space="preserve">El intervalo de confianza al 95% para el verdadero Sharpe ratio es entonces:</w:t>
      </w:r>
    </w:p>
    <w:p>
      <w:pPr>
        <w:pBdr>
          <w:left w:val="single" w:color="2E5496" w:sz="12" w:space="10"/>
        </w:pBdr>
        <w:spacing w:after="80" w:before="80"/>
        <w:ind w:left="720" w:right="720"/>
        <w:jc w:val="center"/>
      </w:pPr>
      <w:r>
        <w:rPr>
          <w:rFonts w:ascii="Courier New" w:cs="Courier New" w:eastAsia="Courier New" w:hAnsi="Courier New"/>
          <w:color w:val="1F3864"/>
          <w:sz w:val="22"/>
          <w:szCs w:val="22"/>
        </w:rPr>
        <w:t xml:space="preserve">IC₉₅%(Sₐ) = [1.10 − 1.96 × 0.38 ,  1.10 + 1.96 × 0.38] = [0.35 ,  1.85]</w:t>
      </w:r>
    </w:p>
    <w:p>
      <w:pPr>
        <w:spacing w:after="120" w:before="120"/>
      </w:pPr>
      <w:r>
        <w:rPr>
          <w:rFonts w:ascii="Arial" w:cs="Arial" w:eastAsia="Arial" w:hAnsi="Arial"/>
          <w:sz w:val="24"/>
          <w:szCs w:val="24"/>
        </w:rPr>
        <w:t xml:space="preserve">Este intervalo es muy amplio e incluye valores de Sharpe tan bajos como 0.35, que corresponderían a una estrategia apenas superior al mercado. Con 11 años de datos, </w:t>
      </w:r>
      <w:r>
        <w:rPr>
          <w:rFonts w:ascii="Arial" w:cs="Arial" w:eastAsia="Arial" w:hAnsi="Arial"/>
          <w:b/>
          <w:bCs/>
          <w:sz w:val="24"/>
          <w:szCs w:val="24"/>
        </w:rPr>
        <w:t xml:space="preserve">no es posible rechazar estadísticamente la hipótesis de que el verdadero Sharpe ratio sea tan solo 0.35</w:t>
      </w:r>
      <w:r>
        <w:rPr>
          <w:rFonts w:ascii="Arial" w:cs="Arial" w:eastAsia="Arial" w:hAnsi="Arial"/>
          <w:sz w:val="24"/>
          <w:szCs w:val="24"/>
        </w:rPr>
        <w:t xml:space="preserve">. Se necesitarían aproximadamente 25–30 años de datos para estimar el Sharpe con un error estándar inferior a 0.20 y poder distinguir entre estrategias con precisión razonable (Bailey &amp; López de Prado, 2012).</w:t>
      </w:r>
    </w:p>
    <w:p>
      <w:pPr>
        <w:pStyle w:val="Heading3"/>
      </w:pPr>
      <w:r>
        <w:rPr>
          <w:rFonts w:ascii="Arial" w:cs="Arial" w:eastAsia="Arial" w:hAnsi="Arial"/>
          <w:b/>
          <w:bCs/>
          <w:color w:val="444444"/>
          <w:sz w:val="24"/>
          <w:szCs w:val="24"/>
        </w:rPr>
        <w:t xml:space="preserve">3.4 El problema del ratio riesgo-retorno del portafolio Kelly</w:t>
      </w:r>
    </w:p>
    <w:p>
      <w:pPr>
        <w:spacing w:after="100" w:before="0"/>
      </w:pPr>
      <w:r>
        <w:rPr>
          <w:rFonts w:ascii="Arial" w:cs="Arial" w:eastAsia="Arial" w:hAnsi="Arial"/>
          <w:sz w:val="24"/>
          <w:szCs w:val="24"/>
        </w:rPr>
        <w:t xml:space="preserve">La función de utilidad esperada maximizada con parámetro τ = 2 produce el portafolio Kelly, que concentra prácticamente toda la inversión en GOOGL (74%) y AAPL (26%). Esta concentración extrema explica tanto el retorno elevado como la volatilidad elevada. En la práctica:</w:t>
      </w:r>
    </w:p>
    <w:p>
      <w:pPr>
        <w:pStyle w:val="ListParagraph"/>
        <w:numPr>
          <w:ilvl w:val="0"/>
          <w:numId w:val="2"/>
        </w:numPr>
        <w:spacing w:after="60" w:before="60"/>
      </w:pPr>
      <w:r>
        <w:rPr>
          <w:rFonts w:ascii="Arial" w:cs="Arial" w:eastAsia="Arial" w:hAnsi="Arial"/>
          <w:sz w:val="24"/>
          <w:szCs w:val="24"/>
        </w:rPr>
        <w:t xml:space="preserve">Un inversionista con aversión al riesgo moderada (τ &gt; 2) rechazaría este portafolio por su volatilidad excesiva.</w:t>
      </w:r>
    </w:p>
    <w:p>
      <w:pPr>
        <w:pStyle w:val="ListParagraph"/>
        <w:numPr>
          <w:ilvl w:val="0"/>
          <w:numId w:val="2"/>
        </w:numPr>
        <w:spacing w:after="60" w:before="60"/>
      </w:pPr>
      <w:r>
        <w:rPr>
          <w:rFonts w:ascii="Arial" w:cs="Arial" w:eastAsia="Arial" w:hAnsi="Arial"/>
          <w:sz w:val="24"/>
          <w:szCs w:val="24"/>
        </w:rPr>
        <w:t xml:space="preserve">El criterio de Kelly puro maximiza el crecimiento de largo plazo, pero implica drawdowns temporales que pueden superar el 50% en escenarios de mercado adversos.</w:t>
      </w:r>
    </w:p>
    <w:p>
      <w:pPr>
        <w:pStyle w:val="ListParagraph"/>
        <w:numPr>
          <w:ilvl w:val="0"/>
          <w:numId w:val="2"/>
        </w:numPr>
        <w:spacing w:after="60" w:before="60"/>
      </w:pPr>
      <w:r>
        <w:rPr>
          <w:rFonts w:ascii="Arial" w:cs="Arial" w:eastAsia="Arial" w:hAnsi="Arial"/>
          <w:sz w:val="24"/>
          <w:szCs w:val="24"/>
        </w:rPr>
        <w:t xml:space="preserve">La concentración en dos activos del sector tecnológico introduce riesgo idiosincrático no diversificado, que el modelo de Markowitz penalizaría explícitamente.</w:t>
      </w:r>
    </w:p>
    <w:p>
      <w:pPr>
        <w:spacing w:after="160" w:before="120"/>
      </w:pPr>
      <w:r>
        <w:rPr>
          <w:rFonts w:ascii="Arial" w:cs="Arial" w:eastAsia="Arial" w:hAnsi="Arial"/>
          <w:sz w:val="24"/>
          <w:szCs w:val="24"/>
        </w:rPr>
        <w:t xml:space="preserve">Para un horizonte de inversión real, el ratio riesgo-retorno del portafolio Kelly —con CV ≈ 0.90— es menos atractivo que el de los portafolios de mínima varianza o CVaR, cuyo CV se sitúa en torno a 0.88, con niveles de riesgo absoluto sustancialmente menores (~16% vs ~32% de volatilidad anual).</w:t>
      </w:r>
    </w:p>
    <w:p>
      <w:pPr>
        <w:pBdr>
          <w:bottom w:val="single" w:color="2E5496" w:sz="6" w:space="1"/>
        </w:pBdr>
        <w:spacing w:after="160" w:before="160"/>
      </w:pPr>
    </w:p>
    <w:p>
      <w:pPr>
        <w:pStyle w:val="Heading2"/>
      </w:pPr>
      <w:r>
        <w:rPr>
          <w:rFonts w:ascii="Arial" w:cs="Arial" w:eastAsia="Arial" w:hAnsi="Arial"/>
          <w:b/>
          <w:bCs/>
          <w:color w:val="2E5496"/>
          <w:sz w:val="28"/>
          <w:szCs w:val="28"/>
        </w:rPr>
        <w:t xml:space="preserve">4. Factores Estructurales que Explican las Rentabilidades Elevadas</w:t>
      </w:r>
    </w:p>
    <w:p>
      <w:pPr>
        <w:pStyle w:val="Heading3"/>
      </w:pPr>
      <w:r>
        <w:rPr>
          <w:rFonts w:ascii="Arial" w:cs="Arial" w:eastAsia="Arial" w:hAnsi="Arial"/>
          <w:b/>
          <w:bCs/>
          <w:color w:val="444444"/>
          <w:sz w:val="24"/>
          <w:szCs w:val="24"/>
        </w:rPr>
        <w:t xml:space="preserve">4.1 Sesgo de supervivencia (survivorship bias)</w:t>
      </w:r>
    </w:p>
    <w:p>
      <w:pPr>
        <w:spacing w:after="160" w:before="0"/>
      </w:pPr>
      <w:r>
        <w:rPr>
          <w:rFonts w:ascii="Arial" w:cs="Arial" w:eastAsia="Arial" w:hAnsi="Arial"/>
          <w:sz w:val="24"/>
          <w:szCs w:val="24"/>
        </w:rPr>
        <w:t xml:space="preserve">El universo de activos fue seleccionado ex-post con conocimiento del desempeño histórico. AAPL multiplicó su valor ajustado aproximadamente 12 veces entre 2015 y 2026; GOOGL lo hizo unas 6 veces; el ETF IVV (S&amp;P 500) registró un retorno acumulado superior al 200%. Elton, Gruber &amp; Blake (1996) demostraron que la inclusión preferencial de activos supervivientes infla sistemáticamente las métricas de desempeño en backtesting. En un diseño experimental riguroso, el universo debería definirse con criterios objetivos </w:t>
      </w:r>
      <w:r>
        <w:rPr>
          <w:rFonts w:ascii="Arial" w:cs="Arial" w:eastAsia="Arial" w:hAnsi="Arial"/>
          <w:i/>
          <w:iCs/>
          <w:sz w:val="24"/>
          <w:szCs w:val="24"/>
        </w:rPr>
        <w:t xml:space="preserve">antes</w:t>
      </w:r>
      <w:r>
        <w:rPr>
          <w:rFonts w:ascii="Arial" w:cs="Arial" w:eastAsia="Arial" w:hAnsi="Arial"/>
          <w:sz w:val="24"/>
          <w:szCs w:val="24"/>
        </w:rPr>
        <w:t xml:space="preserve"> de observar el período de análisis.</w:t>
      </w:r>
    </w:p>
    <w:p>
      <w:pPr>
        <w:pStyle w:val="Heading3"/>
      </w:pPr>
      <w:r>
        <w:rPr>
          <w:rFonts w:ascii="Arial" w:cs="Arial" w:eastAsia="Arial" w:hAnsi="Arial"/>
          <w:b/>
          <w:bCs/>
          <w:color w:val="444444"/>
          <w:sz w:val="24"/>
          <w:szCs w:val="24"/>
        </w:rPr>
        <w:t xml:space="preserve">4.2 Período estructuralmente alcista (2015–2026)</w:t>
      </w:r>
    </w:p>
    <w:p>
      <w:pPr>
        <w:spacing w:after="100" w:before="0"/>
      </w:pPr>
      <w:r>
        <w:rPr>
          <w:rFonts w:ascii="Arial" w:cs="Arial" w:eastAsia="Arial" w:hAnsi="Arial"/>
          <w:sz w:val="24"/>
          <w:szCs w:val="24"/>
        </w:rPr>
        <w:t xml:space="preserve">El intervalo temporal coincide con uno de los mercados alcistas más prolongados de la historia moderna:</w:t>
      </w:r>
    </w:p>
    <w:p>
      <w:pPr>
        <w:pStyle w:val="ListParagraph"/>
        <w:numPr>
          <w:ilvl w:val="0"/>
          <w:numId w:val="2"/>
        </w:numPr>
        <w:spacing w:after="60" w:before="60"/>
      </w:pPr>
      <w:r>
        <w:rPr>
          <w:rFonts w:ascii="Arial" w:cs="Arial" w:eastAsia="Arial" w:hAnsi="Arial"/>
          <w:sz w:val="24"/>
          <w:szCs w:val="24"/>
        </w:rPr>
        <w:t xml:space="preserve">Expansión monetaria de la Reserva Federal (2015–2018) que impulsó los activos de riesgo a nivel global.</w:t>
      </w:r>
    </w:p>
    <w:p>
      <w:pPr>
        <w:pStyle w:val="ListParagraph"/>
        <w:numPr>
          <w:ilvl w:val="0"/>
          <w:numId w:val="2"/>
        </w:numPr>
        <w:spacing w:after="60" w:before="60"/>
      </w:pPr>
      <w:r>
        <w:rPr>
          <w:rFonts w:ascii="Arial" w:cs="Arial" w:eastAsia="Arial" w:hAnsi="Arial"/>
          <w:sz w:val="24"/>
          <w:szCs w:val="24"/>
        </w:rPr>
        <w:t xml:space="preserve">Recuperación post-COVID: el S&amp;P 500 cayó ~34% en marzo de 2020 y recuperó máximos históricos en agosto del mismo año, con un rally tecnológico de ~80% en 12 meses.</w:t>
      </w:r>
    </w:p>
    <w:p>
      <w:pPr>
        <w:pStyle w:val="ListParagraph"/>
        <w:numPr>
          <w:ilvl w:val="0"/>
          <w:numId w:val="2"/>
        </w:numPr>
        <w:spacing w:after="60" w:before="60"/>
      </w:pPr>
      <w:r>
        <w:rPr>
          <w:rFonts w:ascii="Arial" w:cs="Arial" w:eastAsia="Arial" w:hAnsi="Arial"/>
          <w:sz w:val="24"/>
          <w:szCs w:val="24"/>
        </w:rPr>
        <w:t xml:space="preserve">Rally de inteligencia artificial 2023–2024: AAPL y GOOGL se beneficiaron directamente.</w:t>
      </w:r>
    </w:p>
    <w:p>
      <w:pPr>
        <w:pStyle w:val="ListParagraph"/>
        <w:numPr>
          <w:ilvl w:val="0"/>
          <w:numId w:val="2"/>
        </w:numPr>
        <w:spacing w:after="60" w:before="60"/>
      </w:pPr>
      <w:r>
        <w:rPr>
          <w:rFonts w:ascii="Arial" w:cs="Arial" w:eastAsia="Arial" w:hAnsi="Arial"/>
          <w:sz w:val="24"/>
          <w:szCs w:val="24"/>
        </w:rPr>
        <w:t xml:space="preserve">Depreciación del peso colombiano: amplifica los retornos de activos en USD expresados en COP.</w:t>
      </w:r>
    </w:p>
    <w:p>
      <w:pPr>
        <w:spacing w:after="160" w:before="120"/>
      </w:pPr>
      <w:r>
        <w:rPr>
          <w:rFonts w:ascii="Arial" w:cs="Arial" w:eastAsia="Arial" w:hAnsi="Arial"/>
          <w:sz w:val="24"/>
          <w:szCs w:val="24"/>
        </w:rPr>
        <w:t xml:space="preserve">Cualquier estrategia con exposición a estos activos habría exhibido retornos anualizados elevados. El modelo no genera necesariamente alpha; en parte captura la </w:t>
      </w:r>
      <w:r>
        <w:rPr>
          <w:rFonts w:ascii="Arial" w:cs="Arial" w:eastAsia="Arial" w:hAnsi="Arial"/>
          <w:i/>
          <w:iCs/>
          <w:sz w:val="24"/>
          <w:szCs w:val="24"/>
        </w:rPr>
        <w:t xml:space="preserve">beta</w:t>
      </w:r>
      <w:r>
        <w:rPr>
          <w:rFonts w:ascii="Arial" w:cs="Arial" w:eastAsia="Arial" w:hAnsi="Arial"/>
          <w:sz w:val="24"/>
          <w:szCs w:val="24"/>
        </w:rPr>
        <w:t xml:space="preserve"> del mercado alcista del período.</w:t>
      </w:r>
    </w:p>
    <w:p>
      <w:pPr>
        <w:pStyle w:val="Heading3"/>
      </w:pPr>
      <w:r>
        <w:rPr>
          <w:rFonts w:ascii="Arial" w:cs="Arial" w:eastAsia="Arial" w:hAnsi="Arial"/>
          <w:b/>
          <w:bCs/>
          <w:color w:val="444444"/>
          <w:sz w:val="24"/>
          <w:szCs w:val="24"/>
        </w:rPr>
        <w:t xml:space="preserve">4.3 Ausencia de costos de transacción</w:t>
      </w:r>
    </w:p>
    <w:p>
      <w:pPr>
        <w:spacing w:after="80" w:before="0"/>
      </w:pPr>
      <w:r>
        <w:rPr>
          <w:rFonts w:ascii="Arial" w:cs="Arial" w:eastAsia="Arial" w:hAnsi="Arial"/>
          <w:sz w:val="24"/>
          <w:szCs w:val="24"/>
        </w:rPr>
        <w:t xml:space="preserve">El modelo rebalancea el portafolio diariamente sin descontar costos. Si el portafolio rota en promedio un 5% de su valor cada día, el costo anual estimado únicamente por spread (al 0.5%) sería aproximadamente:</w:t>
      </w:r>
    </w:p>
    <w:p>
      <w:pPr>
        <w:pBdr>
          <w:left w:val="single" w:color="2E5496" w:sz="12" w:space="10"/>
        </w:pBdr>
        <w:spacing w:after="80" w:before="80"/>
        <w:ind w:left="720" w:right="720"/>
        <w:jc w:val="center"/>
      </w:pPr>
      <w:r>
        <w:rPr>
          <w:rFonts w:ascii="Courier New" w:cs="Courier New" w:eastAsia="Courier New" w:hAnsi="Courier New"/>
          <w:color w:val="1F3864"/>
          <w:sz w:val="22"/>
          <w:szCs w:val="22"/>
        </w:rPr>
        <w:t xml:space="preserve">Costo anual ≈ 0.005 × 0.05 × 252 ≈ 6.3%</w:t>
      </w:r>
    </w:p>
    <w:p>
      <w:pPr>
        <w:spacing w:after="160" w:before="120"/>
      </w:pPr>
      <w:r>
        <w:rPr>
          <w:rFonts w:ascii="Arial" w:cs="Arial" w:eastAsia="Arial" w:hAnsi="Arial"/>
          <w:sz w:val="24"/>
          <w:szCs w:val="24"/>
        </w:rPr>
        <w:t xml:space="preserve">Este costo ficticio no está descontado del retorno reportado, sobreestimando materialmente el desempeño real alcanzable.</w:t>
      </w:r>
    </w:p>
    <w:p>
      <w:pPr>
        <w:pStyle w:val="Heading3"/>
      </w:pPr>
      <w:r>
        <w:rPr>
          <w:rFonts w:ascii="Arial" w:cs="Arial" w:eastAsia="Arial" w:hAnsi="Arial"/>
          <w:b/>
          <w:bCs/>
          <w:color w:val="444444"/>
          <w:sz w:val="24"/>
          <w:szCs w:val="24"/>
        </w:rPr>
        <w:t xml:space="preserve">4.4 Retorno bruto sin tasa libre de riesgo</w:t>
      </w:r>
    </w:p>
    <w:p>
      <w:pPr>
        <w:spacing w:after="160" w:before="0"/>
      </w:pPr>
      <w:r>
        <w:rPr>
          <w:rFonts w:ascii="Arial" w:cs="Arial" w:eastAsia="Arial" w:hAnsi="Arial"/>
          <w:sz w:val="24"/>
          <w:szCs w:val="24"/>
        </w:rPr>
        <w:t xml:space="preserve">Las métricas corresponden al retorno total sin descontar la tasa libre de riesgo. En Colombia, la tasa de referencia del Banco de la República osciló entre 1.75% y 13.25% durante el período analizado. El exceso de retorno sobre el activo libre de riesgo puede ser entre 2 y 13 puntos porcentuales inferior al retorno bruto reportado.</w:t>
      </w:r>
    </w:p>
    <w:p>
      <w:pPr>
        <w:pBdr>
          <w:bottom w:val="single" w:color="2E5496" w:sz="6" w:space="1"/>
        </w:pBdr>
        <w:spacing w:after="160" w:before="160"/>
      </w:pPr>
    </w:p>
    <w:p>
      <w:pPr>
        <w:pStyle w:val="Heading2"/>
      </w:pPr>
      <w:r>
        <w:rPr>
          <w:rFonts w:ascii="Arial" w:cs="Arial" w:eastAsia="Arial" w:hAnsi="Arial"/>
          <w:b/>
          <w:bCs/>
          <w:color w:val="2E5496"/>
          <w:sz w:val="28"/>
          <w:szCs w:val="28"/>
        </w:rPr>
        <w:t xml:space="preserve">5. Implicaciones para la Interpretación del Sharpe Ratio</w:t>
      </w:r>
    </w:p>
    <w:p>
      <w:pPr>
        <w:spacing w:after="80" w:before="0"/>
      </w:pPr>
      <w:r>
        <w:rPr>
          <w:rFonts w:ascii="Arial" w:cs="Arial" w:eastAsia="Arial" w:hAnsi="Arial"/>
          <w:sz w:val="24"/>
          <w:szCs w:val="24"/>
        </w:rPr>
        <w:t xml:space="preserve">El Sharpe ratio anualizado sigue la convención estándar (Sharpe, 1994):</w:t>
      </w:r>
    </w:p>
    <w:p>
      <w:pPr>
        <w:pBdr>
          <w:left w:val="single" w:color="2E5496" w:sz="12" w:space="10"/>
        </w:pBdr>
        <w:spacing w:after="80" w:before="80"/>
        <w:ind w:left="720" w:right="720"/>
        <w:jc w:val="center"/>
      </w:pPr>
      <w:r>
        <w:rPr>
          <w:rFonts w:ascii="Courier New" w:cs="Courier New" w:eastAsia="Courier New" w:hAnsi="Courier New"/>
          <w:color w:val="1F3864"/>
          <w:sz w:val="22"/>
          <w:szCs w:val="22"/>
        </w:rPr>
        <w:t xml:space="preserve">Sₚ = [μ(rₚ) − rƒ] / σ(rₚ) × √252</w:t>
      </w:r>
    </w:p>
    <w:p>
      <w:pPr>
        <w:spacing w:after="160" w:before="120"/>
      </w:pPr>
      <w:r>
        <w:rPr>
          <w:rFonts w:ascii="Arial" w:cs="Arial" w:eastAsia="Arial" w:hAnsi="Arial"/>
          <w:sz w:val="24"/>
          <w:szCs w:val="24"/>
        </w:rPr>
        <w:t xml:space="preserve">El numerador usa la media aritmética —no el CAGR— por razones metodológicas: permite comparación neutral entre estrategias de distinto nivel de riesgo. Sin embargo, como se mostró en la sección 3.3, el Sharpe ratio en sí mismo es un estimador ruidoso con un error estándar de ≈ 0.38 para 11 años de datos. Un Sharpe superior a 1.0 en datos históricos es </w:t>
      </w:r>
      <w:r>
        <w:rPr>
          <w:rFonts w:ascii="Arial" w:cs="Arial" w:eastAsia="Arial" w:hAnsi="Arial"/>
          <w:i/>
          <w:iCs/>
          <w:sz w:val="24"/>
          <w:szCs w:val="24"/>
        </w:rPr>
        <w:t xml:space="preserve">esperado</w:t>
      </w:r>
      <w:r>
        <w:rPr>
          <w:rFonts w:ascii="Arial" w:cs="Arial" w:eastAsia="Arial" w:hAnsi="Arial"/>
          <w:sz w:val="24"/>
          <w:szCs w:val="24"/>
        </w:rPr>
        <w:t xml:space="preserve"> bajo overfitting moderado y no garantiza desempeño similar fuera de muestra.</w:t>
      </w:r>
    </w:p>
    <w:p>
      <w:pPr>
        <w:pBdr>
          <w:bottom w:val="single" w:color="2E5496" w:sz="6" w:space="1"/>
        </w:pBdr>
        <w:spacing w:after="160" w:before="160"/>
      </w:pPr>
    </w:p>
    <w:p>
      <w:pPr>
        <w:pStyle w:val="Heading2"/>
      </w:pPr>
      <w:r>
        <w:rPr>
          <w:rFonts w:ascii="Arial" w:cs="Arial" w:eastAsia="Arial" w:hAnsi="Arial"/>
          <w:b/>
          <w:bCs/>
          <w:color w:val="2E5496"/>
          <w:sz w:val="28"/>
          <w:szCs w:val="28"/>
        </w:rPr>
        <w:t xml:space="preserve">6. Backtest Overfitting y el Deflated Sharpe Ratio</w:t>
      </w:r>
    </w:p>
    <w:p>
      <w:pPr>
        <w:spacing w:after="80" w:before="0"/>
      </w:pPr>
      <w:r>
        <w:rPr>
          <w:rFonts w:ascii="Arial" w:cs="Arial" w:eastAsia="Arial" w:hAnsi="Arial"/>
          <w:sz w:val="24"/>
          <w:szCs w:val="24"/>
        </w:rPr>
        <w:t xml:space="preserve">Bailey &amp; López de Prado (2014) formalizaron el problema del </w:t>
      </w:r>
      <w:r>
        <w:rPr>
          <w:rFonts w:ascii="Arial" w:cs="Arial" w:eastAsia="Arial" w:hAnsi="Arial"/>
          <w:i/>
          <w:iCs/>
          <w:sz w:val="24"/>
          <w:szCs w:val="24"/>
        </w:rPr>
        <w:t xml:space="preserve">backtest overfitting</w:t>
      </w:r>
      <w:r>
        <w:rPr>
          <w:rFonts w:ascii="Arial" w:cs="Arial" w:eastAsia="Arial" w:hAnsi="Arial"/>
          <w:sz w:val="24"/>
          <w:szCs w:val="24"/>
        </w:rPr>
        <w:t xml:space="preserve">: al evaluar K configuraciones y reportar únicamente el mejor resultado, el Sharpe esperado del ganador se infla. El </w:t>
      </w:r>
      <w:r>
        <w:rPr>
          <w:rFonts w:ascii="Arial" w:cs="Arial" w:eastAsia="Arial" w:hAnsi="Arial"/>
          <w:i/>
          <w:iCs/>
          <w:sz w:val="24"/>
          <w:szCs w:val="24"/>
        </w:rPr>
        <w:t xml:space="preserve">Deflated Sharpe Ratio (DSR)</w:t>
      </w:r>
      <w:r>
        <w:rPr>
          <w:rFonts w:ascii="Arial" w:cs="Arial" w:eastAsia="Arial" w:hAnsi="Arial"/>
          <w:sz w:val="24"/>
          <w:szCs w:val="24"/>
        </w:rPr>
        <w:t xml:space="preserve"> corrige este sesgo:</w:t>
      </w:r>
    </w:p>
    <w:p>
      <w:pPr>
        <w:pBdr>
          <w:left w:val="single" w:color="2E5496" w:sz="12" w:space="10"/>
        </w:pBdr>
        <w:spacing w:after="80" w:before="80"/>
        <w:ind w:left="720" w:right="720"/>
        <w:jc w:val="center"/>
      </w:pPr>
      <w:r>
        <w:rPr>
          <w:rFonts w:ascii="Courier New" w:cs="Courier New" w:eastAsia="Courier New" w:hAnsi="Courier New"/>
          <w:color w:val="1F3864"/>
          <w:sz w:val="22"/>
          <w:szCs w:val="22"/>
        </w:rPr>
        <w:t xml:space="preserve">DSR = Φ[√(T−1) · (SR* − E[SR_max]) / √(1 − γ₃·SR* + ((γ₄−1)/4)·SR*²)]</w:t>
      </w:r>
    </w:p>
    <w:p>
      <w:pPr>
        <w:spacing w:after="160" w:before="120"/>
      </w:pPr>
      <w:r>
        <w:rPr>
          <w:rFonts w:ascii="Arial" w:cs="Arial" w:eastAsia="Arial" w:hAnsi="Arial"/>
          <w:sz w:val="24"/>
          <w:szCs w:val="24"/>
        </w:rPr>
        <w:t xml:space="preserve">En este trabajo se seleccionaron los pesos del fold con mayor Sharpe de validación entre K = 5 folds. Para una interpretación rigurosa, el Sharpe reportado debe compararse contra el DSR o, al menos, contra el Sharpe promedio de todos los folds.</w:t>
      </w:r>
    </w:p>
    <w:p>
      <w:pPr>
        <w:pBdr>
          <w:bottom w:val="single" w:color="2E5496" w:sz="6" w:space="1"/>
        </w:pBdr>
        <w:spacing w:after="160" w:before="160"/>
      </w:pPr>
    </w:p>
    <w:p>
      <w:pPr>
        <w:pStyle w:val="Heading2"/>
      </w:pPr>
      <w:r>
        <w:rPr>
          <w:rFonts w:ascii="Arial" w:cs="Arial" w:eastAsia="Arial" w:hAnsi="Arial"/>
          <w:b/>
          <w:bCs/>
          <w:color w:val="2E5496"/>
          <w:sz w:val="28"/>
          <w:szCs w:val="28"/>
        </w:rPr>
        <w:t xml:space="preserve">7. Conclusión: Cómo Presentar estos Resultados en la Tesis</w:t>
      </w:r>
    </w:p>
    <w:p>
      <w:pPr>
        <w:spacing w:after="120" w:before="0"/>
      </w:pPr>
      <w:r>
        <w:rPr>
          <w:rFonts w:ascii="Arial" w:cs="Arial" w:eastAsia="Arial" w:hAnsi="Arial"/>
          <w:sz w:val="24"/>
          <w:szCs w:val="24"/>
        </w:rPr>
        <w:t xml:space="preserve">Los resultados deben interpretarse como una </w:t>
      </w:r>
      <w:r>
        <w:rPr>
          <w:rFonts w:ascii="Arial" w:cs="Arial" w:eastAsia="Arial" w:hAnsi="Arial"/>
          <w:b/>
          <w:bCs/>
          <w:sz w:val="24"/>
          <w:szCs w:val="24"/>
        </w:rPr>
        <w:t xml:space="preserve">demostración metodológica</w:t>
      </w:r>
      <w:r>
        <w:rPr>
          <w:rFonts w:ascii="Arial" w:cs="Arial" w:eastAsia="Arial" w:hAnsi="Arial"/>
          <w:sz w:val="24"/>
          <w:szCs w:val="24"/>
        </w:rPr>
        <w:t xml:space="preserve"> —el objetivo central de Zhang et al. (2020)— y no como predicción de rentabilidades alcanzables. La rentabilidad elevada del portafolio Kelly (≈35% CAGR) es técnicamente correcta como estimación histórica, pero su intervalo de confianza al 95% abarca desde −28% hasta +98% en cualquier año individual, lo que la convierte en una métrica de alto riesgo e incertidumbre real.</w:t>
      </w:r>
    </w:p>
    <w:p>
      <w:pPr>
        <w:spacing w:after="100" w:before="0"/>
      </w:pPr>
      <w:r>
        <w:rPr>
          <w:rFonts w:ascii="Arial" w:cs="Arial" w:eastAsia="Arial" w:hAnsi="Arial"/>
          <w:sz w:val="24"/>
          <w:szCs w:val="24"/>
        </w:rPr>
        <w:t xml:space="preserve">Para presentar los resultados con rigor académico se recomienda:</w:t>
      </w:r>
    </w:p>
    <w:p>
      <w:pPr>
        <w:pStyle w:val="ListParagraph"/>
        <w:numPr>
          <w:ilvl w:val="0"/>
          <w:numId w:val="2"/>
        </w:numPr>
        <w:spacing w:after="60" w:before="60"/>
      </w:pPr>
      <w:r>
        <w:rPr>
          <w:rFonts w:ascii="Arial" w:cs="Arial" w:eastAsia="Arial" w:hAnsi="Arial"/>
          <w:sz w:val="24"/>
          <w:szCs w:val="24"/>
        </w:rPr>
        <w:t xml:space="preserve">Reportar el CAGR geométrico junto con su intervalo de confianza explícito (rango 1σ y 2σ).</w:t>
      </w:r>
    </w:p>
    <w:p>
      <w:pPr>
        <w:pStyle w:val="ListParagraph"/>
        <w:numPr>
          <w:ilvl w:val="0"/>
          <w:numId w:val="2"/>
        </w:numPr>
        <w:spacing w:after="60" w:before="60"/>
      </w:pPr>
      <w:r>
        <w:rPr>
          <w:rFonts w:ascii="Arial" w:cs="Arial" w:eastAsia="Arial" w:hAnsi="Arial"/>
          <w:sz w:val="24"/>
          <w:szCs w:val="24"/>
        </w:rPr>
        <w:t xml:space="preserve">Destacar el coeficiente de variación (CV = vol/retorno) como indicador de la incertidumbre relativa.</w:t>
      </w:r>
    </w:p>
    <w:p>
      <w:pPr>
        <w:pStyle w:val="ListParagraph"/>
        <w:numPr>
          <w:ilvl w:val="0"/>
          <w:numId w:val="2"/>
        </w:numPr>
        <w:spacing w:after="60" w:before="60"/>
      </w:pPr>
      <w:r>
        <w:rPr>
          <w:rFonts w:ascii="Arial" w:cs="Arial" w:eastAsia="Arial" w:hAnsi="Arial"/>
          <w:sz w:val="24"/>
          <w:szCs w:val="24"/>
        </w:rPr>
        <w:t xml:space="preserve">Reportar el error estándar del Sharpe ratio (Lo, 2002) para cuantificar la precisión estadística.</w:t>
      </w:r>
    </w:p>
    <w:p>
      <w:pPr>
        <w:pStyle w:val="ListParagraph"/>
        <w:numPr>
          <w:ilvl w:val="0"/>
          <w:numId w:val="2"/>
        </w:numPr>
        <w:spacing w:after="60" w:before="60"/>
      </w:pPr>
      <w:r>
        <w:rPr>
          <w:rFonts w:ascii="Arial" w:cs="Arial" w:eastAsia="Arial" w:hAnsi="Arial"/>
          <w:sz w:val="24"/>
          <w:szCs w:val="24"/>
        </w:rPr>
        <w:t xml:space="preserve">Comparar contra un benchmark de buy-and-hold (IVV) en el mismo período para separar beta de alpha.</w:t>
      </w:r>
    </w:p>
    <w:p>
      <w:pPr>
        <w:pStyle w:val="ListParagraph"/>
        <w:numPr>
          <w:ilvl w:val="0"/>
          <w:numId w:val="2"/>
        </w:numPr>
        <w:spacing w:after="60" w:before="60"/>
      </w:pPr>
      <w:r>
        <w:rPr>
          <w:rFonts w:ascii="Arial" w:cs="Arial" w:eastAsia="Arial" w:hAnsi="Arial"/>
          <w:sz w:val="24"/>
          <w:szCs w:val="24"/>
        </w:rPr>
        <w:t xml:space="preserve">Reportar el Sharpe promedio de todos los folds, no solo el del mejor fold seleccionado.</w:t>
      </w:r>
    </w:p>
    <w:p>
      <w:pPr>
        <w:pStyle w:val="ListParagraph"/>
        <w:numPr>
          <w:ilvl w:val="0"/>
          <w:numId w:val="2"/>
        </w:numPr>
        <w:spacing w:after="60" w:before="60"/>
      </w:pPr>
      <w:r>
        <w:rPr>
          <w:rFonts w:ascii="Arial" w:cs="Arial" w:eastAsia="Arial" w:hAnsi="Arial"/>
          <w:sz w:val="24"/>
          <w:szCs w:val="24"/>
        </w:rPr>
        <w:t xml:space="preserve">Declarar explícitamente: ausencia de costos de transacción, sesgo de supervivencia y período estructuralmente alcista.</w:t>
      </w:r>
    </w:p>
    <w:p>
      <w:pPr>
        <w:spacing w:after="240" w:before="120"/>
      </w:pPr>
      <w:r>
        <w:rPr>
          <w:rFonts w:ascii="Arial" w:cs="Arial" w:eastAsia="Arial" w:hAnsi="Arial"/>
          <w:sz w:val="24"/>
          <w:szCs w:val="24"/>
        </w:rPr>
        <w:t xml:space="preserve">En síntesis, las rentabilidades elevadas son el resultado combinado de un período históricamente favorable, sesgo de supervivencia, ausencia de costos de transacción y evaluación en muestra. La alta volatilidad de los portafolios más rentables revela que el riesgo asumido para obtener esos retornos es proporcional: con volatilidades del 30–32% anual, el inversionista real podría obtener tanto un 60% como un 3% en un año dado. Esta incertidumbre debe comunicarse con la misma prominencia que el retorno esperado.</w:t>
      </w:r>
    </w:p>
    <w:p>
      <w:pPr>
        <w:pBdr>
          <w:bottom w:val="single" w:color="2E5496" w:sz="6" w:space="1"/>
        </w:pBdr>
        <w:spacing w:after="160" w:before="160"/>
      </w:pPr>
    </w:p>
    <w:p>
      <w:pPr>
        <w:pStyle w:val="Heading1"/>
      </w:pPr>
      <w:r>
        <w:rPr>
          <w:rFonts w:ascii="Arial" w:cs="Arial" w:eastAsia="Arial" w:hAnsi="Arial"/>
          <w:b/>
          <w:bCs/>
          <w:color w:val="1F3864"/>
          <w:sz w:val="32"/>
          <w:szCs w:val="32"/>
        </w:rPr>
        <w:t xml:space="preserve">Referencias</w:t>
      </w:r>
    </w:p>
    <w:p>
      <w:pPr>
        <w:spacing w:after="120" w:before="0"/>
      </w:pPr>
      <w:r>
        <w:rPr>
          <w:rFonts w:ascii="Arial" w:cs="Arial" w:eastAsia="Arial" w:hAnsi="Arial"/>
          <w:sz w:val="24"/>
          <w:szCs w:val="24"/>
        </w:rPr>
        <w:t xml:space="preserve">Bailey, D. H., &amp; López de Prado, M. (2012). The Sharpe ratio efficient frontier. </w:t>
      </w:r>
      <w:r>
        <w:rPr>
          <w:rFonts w:ascii="Arial" w:cs="Arial" w:eastAsia="Arial" w:hAnsi="Arial"/>
          <w:i/>
          <w:iCs/>
          <w:sz w:val="24"/>
          <w:szCs w:val="24"/>
        </w:rPr>
        <w:t xml:space="preserve">Journal of Risk, 15</w:t>
      </w:r>
      <w:r>
        <w:rPr>
          <w:rFonts w:ascii="Arial" w:cs="Arial" w:eastAsia="Arial" w:hAnsi="Arial"/>
          <w:sz w:val="24"/>
          <w:szCs w:val="24"/>
        </w:rPr>
        <w:t xml:space="preserve">(2), 3–44.</w:t>
      </w:r>
    </w:p>
    <w:p>
      <w:pPr>
        <w:spacing w:after="120" w:before="0"/>
      </w:pPr>
      <w:r>
        <w:rPr>
          <w:rFonts w:ascii="Arial" w:cs="Arial" w:eastAsia="Arial" w:hAnsi="Arial"/>
          <w:sz w:val="24"/>
          <w:szCs w:val="24"/>
        </w:rPr>
        <w:t xml:space="preserve">Bailey, D. H., &amp; López de Prado, M. (2014). The deflated Sharpe ratio: Correcting for selection bias, backtest overfitting, and non-normality. </w:t>
      </w:r>
      <w:r>
        <w:rPr>
          <w:rFonts w:ascii="Arial" w:cs="Arial" w:eastAsia="Arial" w:hAnsi="Arial"/>
          <w:i/>
          <w:iCs/>
          <w:sz w:val="24"/>
          <w:szCs w:val="24"/>
        </w:rPr>
        <w:t xml:space="preserve">Journal of Portfolio Management, 40</w:t>
      </w:r>
      <w:r>
        <w:rPr>
          <w:rFonts w:ascii="Arial" w:cs="Arial" w:eastAsia="Arial" w:hAnsi="Arial"/>
          <w:sz w:val="24"/>
          <w:szCs w:val="24"/>
        </w:rPr>
        <w:t xml:space="preserve">(5), 94–107. https://doi.org/10.3905/jpm.2014.40.5.094</w:t>
      </w:r>
    </w:p>
    <w:p>
      <w:pPr>
        <w:spacing w:after="120" w:before="0"/>
      </w:pPr>
      <w:r>
        <w:rPr>
          <w:rFonts w:ascii="Arial" w:cs="Arial" w:eastAsia="Arial" w:hAnsi="Arial"/>
          <w:sz w:val="24"/>
          <w:szCs w:val="24"/>
        </w:rPr>
        <w:t xml:space="preserve">Elton, E. J., Gruber, M. J., &amp; Blake, C. R. (1996). Survivorship bias and mutual fund performance. </w:t>
      </w:r>
      <w:r>
        <w:rPr>
          <w:rFonts w:ascii="Arial" w:cs="Arial" w:eastAsia="Arial" w:hAnsi="Arial"/>
          <w:i/>
          <w:iCs/>
          <w:sz w:val="24"/>
          <w:szCs w:val="24"/>
        </w:rPr>
        <w:t xml:space="preserve">Review of Financial Studies, 9</w:t>
      </w:r>
      <w:r>
        <w:rPr>
          <w:rFonts w:ascii="Arial" w:cs="Arial" w:eastAsia="Arial" w:hAnsi="Arial"/>
          <w:sz w:val="24"/>
          <w:szCs w:val="24"/>
        </w:rPr>
        <w:t xml:space="preserve">(4), 1097–1120. https://doi.org/10.1093/rfs/9.4.1097</w:t>
      </w:r>
    </w:p>
    <w:p>
      <w:pPr>
        <w:spacing w:after="120" w:before="0"/>
      </w:pPr>
      <w:r>
        <w:rPr>
          <w:rFonts w:ascii="Arial" w:cs="Arial" w:eastAsia="Arial" w:hAnsi="Arial"/>
          <w:sz w:val="24"/>
          <w:szCs w:val="24"/>
        </w:rPr>
        <w:t xml:space="preserve">Harvey, C. R., Liu, Y., &amp; Zhu, H. (2016). … and the cross-section of expected returns. </w:t>
      </w:r>
      <w:r>
        <w:rPr>
          <w:rFonts w:ascii="Arial" w:cs="Arial" w:eastAsia="Arial" w:hAnsi="Arial"/>
          <w:i/>
          <w:iCs/>
          <w:sz w:val="24"/>
          <w:szCs w:val="24"/>
        </w:rPr>
        <w:t xml:space="preserve">Review of Financial Studies, 29</w:t>
      </w:r>
      <w:r>
        <w:rPr>
          <w:rFonts w:ascii="Arial" w:cs="Arial" w:eastAsia="Arial" w:hAnsi="Arial"/>
          <w:sz w:val="24"/>
          <w:szCs w:val="24"/>
        </w:rPr>
        <w:t xml:space="preserve">(1), 5–68. https://doi.org/10.1093/rfs/hhv059</w:t>
      </w:r>
    </w:p>
    <w:p>
      <w:pPr>
        <w:spacing w:after="120" w:before="0"/>
      </w:pPr>
      <w:r>
        <w:rPr>
          <w:rFonts w:ascii="Arial" w:cs="Arial" w:eastAsia="Arial" w:hAnsi="Arial"/>
          <w:sz w:val="24"/>
          <w:szCs w:val="24"/>
        </w:rPr>
        <w:t xml:space="preserve">Lo, A. W. (2002). The statistics of Sharpe ratios. </w:t>
      </w:r>
      <w:r>
        <w:rPr>
          <w:rFonts w:ascii="Arial" w:cs="Arial" w:eastAsia="Arial" w:hAnsi="Arial"/>
          <w:i/>
          <w:iCs/>
          <w:sz w:val="24"/>
          <w:szCs w:val="24"/>
        </w:rPr>
        <w:t xml:space="preserve">Financial Analysts Journal, 58</w:t>
      </w:r>
      <w:r>
        <w:rPr>
          <w:rFonts w:ascii="Arial" w:cs="Arial" w:eastAsia="Arial" w:hAnsi="Arial"/>
          <w:sz w:val="24"/>
          <w:szCs w:val="24"/>
        </w:rPr>
        <w:t xml:space="preserve">(4), 36–52. https://doi.org/10.2469/faj.v58.n4.2453</w:t>
      </w:r>
    </w:p>
    <w:p>
      <w:pPr>
        <w:spacing w:after="120" w:before="0"/>
      </w:pPr>
      <w:r>
        <w:rPr>
          <w:rFonts w:ascii="Arial" w:cs="Arial" w:eastAsia="Arial" w:hAnsi="Arial"/>
          <w:sz w:val="24"/>
          <w:szCs w:val="24"/>
        </w:rPr>
        <w:t xml:space="preserve">Sharpe, W. F. (1994). The Sharpe ratio. </w:t>
      </w:r>
      <w:r>
        <w:rPr>
          <w:rFonts w:ascii="Arial" w:cs="Arial" w:eastAsia="Arial" w:hAnsi="Arial"/>
          <w:i/>
          <w:iCs/>
          <w:sz w:val="24"/>
          <w:szCs w:val="24"/>
        </w:rPr>
        <w:t xml:space="preserve">Journal of Portfolio Management, 21</w:t>
      </w:r>
      <w:r>
        <w:rPr>
          <w:rFonts w:ascii="Arial" w:cs="Arial" w:eastAsia="Arial" w:hAnsi="Arial"/>
          <w:sz w:val="24"/>
          <w:szCs w:val="24"/>
        </w:rPr>
        <w:t xml:space="preserve">(1), 49–58. https://doi.org/10.3905/jpm.1994.409501</w:t>
      </w:r>
    </w:p>
    <w:p>
      <w:pPr>
        <w:spacing w:after="160" w:before="0"/>
      </w:pPr>
      <w:r>
        <w:rPr>
          <w:rFonts w:ascii="Arial" w:cs="Arial" w:eastAsia="Arial" w:hAnsi="Arial"/>
          <w:sz w:val="24"/>
          <w:szCs w:val="24"/>
        </w:rPr>
        <w:t xml:space="preserve">Zhang, Z., Zohren, S., &amp; Roberts, S. (2020). Deep learning for portfolio optimization. </w:t>
      </w:r>
      <w:r>
        <w:rPr>
          <w:rFonts w:ascii="Arial" w:cs="Arial" w:eastAsia="Arial" w:hAnsi="Arial"/>
          <w:i/>
          <w:iCs/>
          <w:sz w:val="24"/>
          <w:szCs w:val="24"/>
        </w:rPr>
        <w:t xml:space="preserve">Journal of Financial Data Science, 2</w:t>
      </w:r>
      <w:r>
        <w:rPr>
          <w:rFonts w:ascii="Arial" w:cs="Arial" w:eastAsia="Arial" w:hAnsi="Arial"/>
          <w:sz w:val="24"/>
          <w:szCs w:val="24"/>
        </w:rPr>
        <w:t xml:space="preserve">(4), 8–20. https://doi.org/10.3905/jfds.2020.1.042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1"/>
      </w:pBdr>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pPr>
    <w:r>
      <w:rPr>
        <w:rFonts w:ascii="Arial" w:cs="Arial" w:eastAsia="Arial" w:hAnsi="Arial"/>
        <w:color w:val="888888"/>
        <w:sz w:val="18"/>
        <w:szCs w:val="18"/>
      </w:rPr>
      <w:t xml:space="preserve">Justificación de Rentabilidades Anualizadas — Modelo LSTM de Portafolios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49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2026-05-15T05:59:10.504Z</dcterms:created>
  <dcterms:modified xsi:type="dcterms:W3CDTF">2026-05-15T05:59:10.505Z</dcterms:modified>
</cp:coreProperties>
</file>

<file path=docProps/custom.xml><?xml version="1.0" encoding="utf-8"?>
<Properties xmlns="http://schemas.openxmlformats.org/officeDocument/2006/custom-properties" xmlns:vt="http://schemas.openxmlformats.org/officeDocument/2006/docPropsVTypes"/>
</file>