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therapeutic target prioritization that ranks regulators by network centrality to identify and prioritize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 xml:space="preserve">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w:t>
      </w:r>
      <w:r>
        <w:rPr>
          <w:b/>
        </w:rPr>
        <w:t>Important caveat:</w:t>
      </w:r>
      <w:r>
        <w:t xml:space="preserve">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Therapeutic Target Prioritization Limitations:</w:t>
      </w:r>
    </w:p>
    <w:p>
      <w:r>
        <w:t>Our therapeutic target prioritization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prognostic, predictive, or therapeutic) based on regulatory architecture and gene function. Assesses tissue specificity from cross-cell-type regulatory patterns and provides disease association estimates based on network position.</w:t>
      </w:r>
    </w:p>
    <w:p>
      <w:r>
        <w:rPr>
          <w:b/>
        </w:rPr>
        <w:t>Systems Biology Agent:</w:t>
      </w:r>
      <w:r>
        <w:t xml:space="preserve"> Interprets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The framework operates in two modes with different classification logic:</w:t>
      </w:r>
    </w:p>
    <w:p>
      <w:r>
        <w:rPr>
          <w:b/>
        </w:rPr>
        <w:t>Rule-Based Mode</w:t>
      </w:r>
      <w:r>
        <w:t xml:space="preserve"> uses fixed network topology thresholds (applies ONLY to rule-based mode, NOT LLM mode): </w:t>
      </w:r>
      <w:r>
        <w:rPr>
          <w:b/>
        </w:rPr>
        <w:t>Cancer Biology Agent:</w:t>
      </w:r>
      <w:r>
        <w:t xml:space="preserve"> Oncogenic potential (&gt;20 targets = high, &gt;5 = moderate, ≤5 = low), tumor suppressor likelihood (&gt;15 regulators = high, &gt;5 = moderate, ≤5 = low). </w:t>
      </w:r>
      <w:r>
        <w:rPr>
          <w:b/>
        </w:rPr>
        <w:t>Drug Development Agent:</w:t>
      </w:r>
      <w:r>
        <w:t xml:space="preserve"> Intervention strategy (&gt;15 targets = inhibition candidate, &gt;10 regulators = activation candidate), development complexity (&gt;20 targets = high off-target risk, &gt;5 = moderate, ≤5 = low). </w:t>
      </w:r>
      <w:r>
        <w:rPr>
          <w:b/>
        </w:rPr>
        <w:t>Clinical Relevance Agent:</w:t>
      </w:r>
      <w:r>
        <w:t xml:space="preserve">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r>
        <w:rPr>
          <w:b/>
        </w:rPr>
        <w:t>LLM-Powered Mode</w:t>
      </w:r>
      <w:r>
        <w:t xml:space="preserv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r>
        <w:t>Network centrality metrics (PageRank, degree centrality) are computed identically in both modes using deterministic algorithms and remain the primary validated quantitative outputs, with regulator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Therapeutic target prioritization results (if applicable, with ranked regulators)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target prioritization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target prioritization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i7-14700F, 64GB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Network architecture alignment</w:t>
      </w:r>
      <w:r>
        <w:t xml:space="preserve"> with known biological roles (hub regulators: TP53, MYC, CTNNB1; end-point effectors: CCND1, KRAS)</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r>
        <w:rPr>
          <w:b/>
        </w:rPr>
        <w:t>LLM-powered mode</w:t>
      </w:r>
      <w:r>
        <w:t xml:space="preserv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are near-instantaneous (&lt;1 ms), Reactome API calls take 0.3-1.5 seconds, and local LLM inference (Ollama/llama3.1:8b) adds overhead for domain agent analysis. PageRank pre-computation enables instant regulator ranking.</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(rule-based)</w:t>
            </w:r>
          </w:p>
        </w:tc>
        <w:tc>
          <w:tcPr>
            <w:tcW w:type="dxa" w:w="2160"/>
          </w:tcPr>
          <w:p>
            <w:r>
              <w:t>TP53</w:t>
            </w:r>
          </w:p>
        </w:tc>
        <w:tc>
          <w:tcPr>
            <w:tcW w:type="dxa" w:w="2160"/>
          </w:tcPr>
          <w:p>
            <w:r>
              <w:t>0.68 sec</w:t>
            </w:r>
          </w:p>
        </w:tc>
        <w:tc>
          <w:tcPr>
            <w:tcW w:type="dxa" w:w="2160"/>
          </w:tcPr>
          <w:p>
            <w:r>
              <w:t>Network lookup, regulators, targets, complete regulator ranking (all 7 upstream regulators)</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regulator ranking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regulator ranking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regulator ranking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r>
        <w:t>#### LLM-Generated Rationale Validation</w:t>
      </w:r>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r>
        <w:rPr>
          <w:b/>
        </w:rPr>
        <w:t>Oncogenic/tumor suppressor classifications:</w:t>
      </w:r>
      <w:r>
        <w:t xml:space="preserve">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r>
        <w:rPr>
          <w:b/>
        </w:rPr>
        <w:t>Therapeutic and druggability rationales:</w:t>
      </w:r>
      <w:r>
        <w:t xml:space="preserve">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r>
        <w:rPr>
          <w:b/>
        </w:rPr>
        <w:t>Mechanistic explanations:</w:t>
      </w:r>
      <w:r>
        <w:t xml:space="preserve">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Gene</w:t>
            </w:r>
          </w:p>
        </w:tc>
        <w:tc>
          <w:tcPr>
            <w:tcW w:type="dxa" w:w="1728"/>
          </w:tcPr>
          <w:p>
            <w:r>
              <w:rPr>
                <w:b/>
              </w:rPr>
              <w:t>Regulatory Role</w:t>
            </w:r>
          </w:p>
        </w:tc>
        <w:tc>
          <w:tcPr>
            <w:tcW w:type="dxa" w:w="1728"/>
          </w:tcPr>
          <w:p>
            <w:r>
              <w:rPr>
                <w:b/>
              </w:rPr>
              <w:t>Targets</w:t>
            </w:r>
          </w:p>
        </w:tc>
        <w:tc>
          <w:tcPr>
            <w:tcW w:type="dxa" w:w="1728"/>
          </w:tcPr>
          <w:p>
            <w:r>
              <w:rPr>
                <w:b/>
              </w:rPr>
              <w:t>Regulators</w:t>
            </w:r>
          </w:p>
        </w:tc>
        <w:tc>
          <w:tcPr>
            <w:tcW w:type="dxa" w:w="1728"/>
          </w:tcPr>
          <w:p>
            <w:r>
              <w:rPr>
                <w:b/>
              </w:rPr>
              <w:t>Top Candidate Regulator (PageRank)</w:t>
            </w:r>
          </w:p>
        </w:tc>
      </w:tr>
      <w:tr>
        <w:tc>
          <w:tcPr>
            <w:tcW w:type="dxa" w:w="1728"/>
          </w:tcPr>
          <w:p>
            <w:r>
              <w:t>MYC</w:t>
            </w:r>
          </w:p>
        </w:tc>
        <w:tc>
          <w:tcPr>
            <w:tcW w:type="dxa" w:w="1728"/>
          </w:tcPr>
          <w:p>
            <w:r>
              <w:t>Hub Regulator</w:t>
            </w:r>
          </w:p>
        </w:tc>
        <w:tc>
          <w:tcPr>
            <w:tcW w:type="dxa" w:w="1728"/>
          </w:tcPr>
          <w:p>
            <w:r>
              <w:t>427</w:t>
            </w:r>
          </w:p>
        </w:tc>
        <w:tc>
          <w:tcPr>
            <w:tcW w:type="dxa" w:w="1728"/>
          </w:tcPr>
          <w:p>
            <w:r>
              <w:t>25</w:t>
            </w:r>
          </w:p>
        </w:tc>
        <w:tc>
          <w:tcPr>
            <w:tcW w:type="dxa" w:w="1728"/>
          </w:tcPr>
          <w:p>
            <w:r>
              <w:t>ID4 (0.622)</w:t>
            </w:r>
          </w:p>
        </w:tc>
      </w:tr>
      <w:tr>
        <w:tc>
          <w:tcPr>
            <w:tcW w:type="dxa" w:w="1728"/>
          </w:tcPr>
          <w:p>
            <w:r>
              <w:t>CTNNB1</w:t>
            </w:r>
          </w:p>
        </w:tc>
        <w:tc>
          <w:tcPr>
            <w:tcW w:type="dxa" w:w="1728"/>
          </w:tcPr>
          <w:p>
            <w:r>
              <w:t>Hub Regulator</w:t>
            </w:r>
          </w:p>
        </w:tc>
        <w:tc>
          <w:tcPr>
            <w:tcW w:type="dxa" w:w="1728"/>
          </w:tcPr>
          <w:p>
            <w:r>
              <w:t>310</w:t>
            </w:r>
          </w:p>
        </w:tc>
        <w:tc>
          <w:tcPr>
            <w:tcW w:type="dxa" w:w="1728"/>
          </w:tcPr>
          <w:p>
            <w:r>
              <w:t>18</w:t>
            </w:r>
          </w:p>
        </w:tc>
        <w:tc>
          <w:tcPr>
            <w:tcW w:type="dxa" w:w="1728"/>
          </w:tcPr>
          <w:p>
            <w:r>
              <w:t>CHD2 (0.530)</w:t>
            </w:r>
          </w:p>
        </w:tc>
      </w:tr>
      <w:tr>
        <w:tc>
          <w:tcPr>
            <w:tcW w:type="dxa" w:w="1728"/>
          </w:tcPr>
          <w:p>
            <w:r>
              <w:t>CCND1</w:t>
            </w:r>
          </w:p>
        </w:tc>
        <w:tc>
          <w:tcPr>
            <w:tcW w:type="dxa" w:w="1728"/>
          </w:tcPr>
          <w:p>
            <w:r>
              <w:t>Heavily Regulated</w:t>
            </w:r>
          </w:p>
        </w:tc>
        <w:tc>
          <w:tcPr>
            <w:tcW w:type="dxa" w:w="1728"/>
          </w:tcPr>
          <w:p>
            <w:r>
              <w:t>0</w:t>
            </w:r>
          </w:p>
        </w:tc>
        <w:tc>
          <w:tcPr>
            <w:tcW w:type="dxa" w:w="1728"/>
          </w:tcPr>
          <w:p>
            <w:r>
              <w:t>42</w:t>
            </w:r>
          </w:p>
        </w:tc>
        <w:tc>
          <w:tcPr>
            <w:tcW w:type="dxa" w:w="1728"/>
          </w:tcPr>
          <w:p>
            <w:r>
              <w:t>ZBTB20 (0.600)</w:t>
            </w:r>
          </w:p>
        </w:tc>
      </w:tr>
      <w:tr>
        <w:tc>
          <w:tcPr>
            <w:tcW w:type="dxa" w:w="1728"/>
          </w:tcPr>
          <w:p>
            <w:r>
              <w:t>TP53</w:t>
            </w:r>
          </w:p>
        </w:tc>
        <w:tc>
          <w:tcPr>
            <w:tcW w:type="dxa" w:w="1728"/>
          </w:tcPr>
          <w:p>
            <w:r>
              <w:t>Hub Regulator</w:t>
            </w:r>
          </w:p>
        </w:tc>
        <w:tc>
          <w:tcPr>
            <w:tcW w:type="dxa" w:w="1728"/>
          </w:tcPr>
          <w:p>
            <w:r>
              <w:t>163</w:t>
            </w:r>
          </w:p>
        </w:tc>
        <w:tc>
          <w:tcPr>
            <w:tcW w:type="dxa" w:w="1728"/>
          </w:tcPr>
          <w:p>
            <w:r>
              <w:t>7</w:t>
            </w:r>
          </w:p>
        </w:tc>
        <w:tc>
          <w:tcPr>
            <w:tcW w:type="dxa" w:w="1728"/>
          </w:tcPr>
          <w:p>
            <w:r>
              <w:t>**WWTR1 (0.473)**</w:t>
            </w:r>
          </w:p>
        </w:tc>
      </w:tr>
      <w:tr>
        <w:tc>
          <w:tcPr>
            <w:tcW w:type="dxa" w:w="1728"/>
          </w:tcPr>
          <w:p>
            <w:r>
              <w:t>KRAS</w:t>
            </w:r>
          </w:p>
        </w:tc>
        <w:tc>
          <w:tcPr>
            <w:tcW w:type="dxa" w:w="1728"/>
          </w:tcPr>
          <w:p>
            <w:r>
              <w:t>Heavily Regulated</w:t>
            </w:r>
          </w:p>
        </w:tc>
        <w:tc>
          <w:tcPr>
            <w:tcW w:type="dxa" w:w="1728"/>
          </w:tcPr>
          <w:p>
            <w:r>
              <w:t>0</w:t>
            </w:r>
          </w:p>
        </w:tc>
        <w:tc>
          <w:tcPr>
            <w:tcW w:type="dxa" w:w="1728"/>
          </w:tcPr>
          <w:p>
            <w:r>
              <w:t>7</w:t>
            </w:r>
          </w:p>
        </w:tc>
        <w:tc>
          <w:tcPr>
            <w:tcW w:type="dxa" w:w="1728"/>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r>
        <w:t>#### Network Architecture and Literature Context</w:t>
      </w:r>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Pr>
        <w:pStyle w:val="Heading2"/>
      </w:pPr>
      <w:r>
        <w:t>Therapeutic Target Prioritization: TP53 Candidate Regulator Ranking</w:t>
      </w:r>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r>
        <w:rPr>
          <w:b/>
        </w:rPr>
        <w:t>Table 3 shows the complete ranking of all 7 regulators</w:t>
      </w:r>
      <w:r>
        <w:t>, not a filtered subset, providing full transparency in the prioritization analysis.</w:t>
      </w:r>
    </w:p>
    <w:p>
      <w:r>
        <w:rPr>
          <w:b/>
        </w:rPr>
        <w:t>Table 3. TP53 Therapeutic Target Prioritization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Known regulatory relationships:</w:t>
      </w:r>
      <w:r>
        <w:t xml:space="preserve">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2. Pathway-network concordance:</w:t>
      </w:r>
      <w:r>
        <w:t xml:space="preserve"> Pathway enrichment independently identified Hippo signaling (FDR = 0.020), confirming biological coherence between network structure and pathway-level regulation.</w:t>
      </w:r>
    </w:p>
    <w:p>
      <w:r>
        <w:rPr>
          <w:b/>
        </w:rPr>
        <w:t>3. Network architecture alignment:</w:t>
      </w:r>
      <w:r>
        <w:t xml:space="preserve"> Identified regulatory architectures (hub regulators vs. heavily regulated genes) align with known biological roles - TP53, MYC, and CTNNB1 as master regulatory hubs in tumor suppression and oncogenic signaling, while CCND1 and KRAS function as end-point effectors.</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Therapeutic Target Prioritization:</w:t>
      </w:r>
      <w:r>
        <w:t xml:space="preserve">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Therapeutic target prioritization (7 regulators)</w:t>
            </w:r>
          </w:p>
        </w:tc>
        <w:tc>
          <w:tcPr>
            <w:tcW w:type="dxa" w:w="2160"/>
          </w:tcPr>
          <w:p>
            <w:r>
              <w:t>2-4 hours (literature curation per regulator)</w:t>
            </w:r>
          </w:p>
        </w:tc>
        <w:tc>
          <w:tcPr>
            <w:tcW w:type="dxa" w:w="2160"/>
          </w:tcPr>
          <w:p>
            <w:r>
              <w:t>0.60 sec (automated ranking)</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Ranking:</w:t>
      </w:r>
      <w:r>
        <w:t xml:space="preserve">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"therapeutic_target_prioritization":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