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r>
        <w:br w:type="page"/>
      </w:r>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Appendix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pPr>
        <w:keepNext/>
      </w:pPr>
      <w:r>
        <w:t>Table 3. TP53 Perturbation Analysis Results - Validation Against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pPr>
        <w:pStyle w:val="Heading1"/>
        <w:keepNext/>
      </w:pPr>
      <w:r>
        <w:t>APPENDIX</w:t>
      </w:r>
    </w:p>
    <w:p/>
    <w:p>
      <w:pPr>
        <w:pStyle w:val="Heading2"/>
        <w:keepNext/>
      </w:pPr>
      <w:r>
        <w:t>RegNetAgents: LLM-Powered Multi-Agent Framework for Gene Regulatory Network Analysis</w:t>
      </w:r>
    </w:p>
    <w:p/>
    <w:p>
      <w:r>
        <w:t>---</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
      <w:r>
        <w:t>---</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r>
        <w:t>---</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t>---</w:t>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r>
        <w: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r>
        <w: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r>
        <w: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r>
        <w:t>---</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w:t>
      </w:r>
    </w:p>
    <w:p/>
    <w:p>
      <w:r>
        <w:t>Network metrics (PageRank, degree centrality) are deterministic and fully reproducible across all runs.</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42</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