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demonstrates automated gene regulatory network analysis through conversational interaction. This system is designed as a hypothesis generation tool to assist researchers, not as a replacement for experimental validation. The framework integrates network modeling, therapeutic target ranking, pathway enrichment, and multi-domain interpretation into a unified conversational interface accessible without programming expertise.</w:t>
      </w:r>
    </w:p>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p>
      <w:r>
        <w:t>In a five-gene colorectal cancer case study (MYC, CTNNB1, CCND1, TP53, KRAS), the framework characterizes regulatory architectures (hub regulators vs. heavily regulated genes) that align with known biological roles. For TP53, top-ranked upstream regulators include literature-supported interactors (WWTR1, YAP1, CHD4) identified by network topology, while additional high-ranking candidates (RBPMS, PRRX2, THRA, IKZF2) represent novel hypotheses for experimental validation.</w:t>
      </w:r>
    </w:p>
    <w:p/>
    <w:p>
      <w:r>
        <w:t>Analysis of 99 regulators across 5 genes completed in 15-62 seconds (vs. 2-4 hours manual workflows), representing orders of magnitude speedup. This five-gene demonstration establishes proof-of-concept for recapitulating literature-confirmed patterns and generating testable hypotheses. RegNetAgents transforms labor-intensive analysis into second-scale automated workflows accessible to experimental biologists. This work was developed with assistance from AI coding tools (Claude Code), demonstrating how AI-assisted development can democratize computational biology research and enable researchers from diverse backgrounds to implement sophisticated analytical frameworks.</w:t>
      </w:r>
    </w:p>
    <w:p/>
    <w:p>
      <w:r>
        <w:t>Keywords: gene regulatory networks, single-cell RNA-seq, multi-agent systems, workflow orchestration, hypothesis generation, biomarker discovery, therapeutic target identification, network centrality, PageRank, LangGraph, Model Context Protocol</w:t>
      </w:r>
    </w:p>
    <w:p/>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These workflow bottlenecks—manual integration, limited scalability, and accessibility barriers—align precisely with challenges that recent AI advances are well-positioned to address.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The GREmLN team (CZ Biohub NY / Columbia University) processed single-cell RNA-seq data from the CELLxGENE Data Portal (15)—comprising 11 million scRNA-seq profiles across 162 cell types from Census release 2024-07-01—using the ARACNe (Algorithm for the Reconstruction of Accurate Cellular Networks) algorithm (16,17) and publicly released pre-computed networks for 10 cell types via their Quickstart Tutorial. RegNetAgents leverages these pre-computed ARACNe networks as input data for multi-agent network analysis, independent of the GREmLN foundation model itself.</w:t>
      </w:r>
    </w:p>
    <w:p/>
    <w:p>
      <w:r>
        <w:t>ARACNe Network Inference: ARACNe-AP (Adaptive Partitioning) uses mutual information to identify direct regulatory interactions while eliminating indirect associations through data processing inequality (DPI).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experimental validation.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Rationale for Top 10 Regulator/Target Selection:</w:t>
      </w:r>
    </w:p>
    <w:p>
      <w:r>
        <w:t>For pathway enrichment, gene lists are constructed from the query gene plus its top 10 upstream regulators and top 10 downstream targets (ranked by network centrality). This focused approach is critical for balancing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1-20 targets not meeting hub or intermediate criteria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br w:type="page"/>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C_out(R) = deg_out(R)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exploratory threshold) combined with hub regulator status (&gt;200 targets) indicates strong therapeutic potential but requires consideration of potential off-target effects. Assuming equal direct regulatory input, each of N regulators would contribute 1/N to target gene regulation; centrality metrics (PageRank, degree centrality) differentiate therapeutic potential by weighting regulators based on network position and influence beyond this baseline assumption.</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its top 10 upstream regulators (ranked by network centrality), and its top 10 downstream targets (approximately 21 genes total). This focused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automatic graceful fallback to deterministic rule-based heuristics if LLM is unavailable, ensuring the framework always produces results regardless of LLM server status. This dual-mode architecture guarantees reliability in production environments while providing enhanced interpretability when LLM resources are available.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(Guaranteed Reliability):</w:t>
      </w:r>
    </w:p>
    <w:p>
      <w:r>
        <w:t>If LLM is unavailable or fails, agents automatically switch to fast deterministic heuristic algorithms that classify genes based on network topology. This fallback mode ensures 100% uptime and consistent results across repeated runs, providing fully deterministic classifications without external dependencies:</w:t>
      </w:r>
    </w:p>
    <w:p/>
    <w:p>
      <w:r>
        <w:t>Cancer Biology Agent: Classifies oncogenic potential based on network centrality (&gt;20 targets = high, &gt;5 = moderate, ≤5 = low), tumor suppressor likelihood (&gt;15 regulators = high, &gt;5 = moderate, ≤5 = low),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regulatory influence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(heavily_regulated role = diagnostic, hub_regulator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(`regulatory_role`, `num_regulators`,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comprehensive_gene_analysis: Full workflow execution (network + regulators + targets + target prioritization + pathways + domains)</w:t>
      </w:r>
    </w:p>
    <w:p>
      <w:r>
        <w:t>2. multi_gene_analysis: Parallel processing of multiple genes with comparative analysis</w:t>
      </w:r>
    </w:p>
    <w:p>
      <w:r>
        <w:t>3. pathway_focused_analysis: Pathway enrichment for user-specified gene lists</w:t>
      </w:r>
    </w:p>
    <w:p>
      <w:r>
        <w:t>4. cross_cell_comparison: Regulatory role comparison across all 10 cell types</w:t>
      </w:r>
    </w:p>
    <w:p>
      <w:r>
        <w:t>5. workflow_status: Real-time execution monitoring</w:t>
      </w:r>
    </w:p>
    <w:p>
      <w:r>
        <w:t>6. workflow_insights: Performance analytics and routing decisions</w:t>
      </w:r>
    </w:p>
    <w:p>
      <w:r>
        <w:t>7. create_analysis_report: Generate formatted analysis summaries</w:t>
      </w:r>
    </w:p>
    <w:p>
      <w:r>
        <w:t>8. load_gene_results: Load previously saved analysis results</w:t>
      </w:r>
    </w:p>
    <w:p>
      <w:r>
        <w:t>9. list_available_results: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desktop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team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desktop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2C).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8-16 hours of manual effort (serial per-gene workflow with some efficiency gains from shared setup and batch operations).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0.60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2D).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3).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with PageRank (normalized [0-1]) as the primary ranking metric calculated on entire network to capture global influence (best predictor of drug target success per Mora &amp; Donaldson 2021). Targets and Regulators columns show count of network connections. Top candidate regulator shown for each gene (ranked by PageRank). These rankings serve as hypotheses for experimental validation. Detailed TP53 regulator ranking results presented below (Table 3) as representative example with complete rankings of all 7 regulators including both PageRank and out-degree centrality metrics.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4).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(normalized [0-1]), a metric associated with drug target success per Mora &amp; Donaldson (2021). PageRank scores &gt;0.30 suggest high-quality network connections. Out-degree centrality (normalized [0-1]) measures downstream regulatory influence (hub identification). Downstream Targets column shows count of network connections.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exploratory hypotheses (RBPMS, PRRX2, THRA, IKZF2) represent topology-based predictions requiring experimental validation—these should be interpreted as candidate regulators for testing, not confirmed functional interactors.</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is consistent with two biologically plausible mechanisms (requiring experimental validation to confirm):</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is consistent with biological expectations: epithelial tissues experience high oncogenic stress (environmental exposures, high proliferation rates, barrier function) that may necessitate robust TP53 tumor suppressor networks for genomic surveillance and cell fate decisions. In contrast, differentiated immune cells operate under different selective pressures—antigen response, immune homeostasis, and inflammatory regulation—where TP53's canonical tumor suppressor role may be less central to cellular function. The presence of TP53 regulatory activity in erythrocytes (precursor cells undergoing differentiation and DNA damage from oxidative stress) and NKT cells (semi-activated state) is consistent with this interpretation, as these represent intermediate functional states between proliferative and fully differentiated cells.</w:t>
      </w:r>
    </w:p>
    <w:p/>
    <w:p>
      <w:r>
        <w:t>Interpretation caveats: These observations represent biologically plausible hypotheses based on network topology and known cell biology, but definitive mechanistic conclusions would require experimental validation (e.g., single-cell TP53 expression profiling, knockout/inhibition experiments in immune cells). Cross-cell-type analysis reveals tissue-specific regulatory patterns that may inform understanding of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activity—though these therapeutic implications remain hypotheses requiring clinical validation.</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time-series experimental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desktop (Intel i7-14700F, 64GB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w:t>
      </w:r>
    </w:p>
    <w:p/>
    <w:p>
      <w:r>
        <w:t>RegNetAgents is designed as a hypothesis generation tool, not a replacement for experimental validation. Several important limitations warrant consideration when interpreting results:</w:t>
      </w:r>
    </w:p>
    <w:p/>
    <w:p>
      <w:r>
        <w:t>Scope of Analyses: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knockout/inhibition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p/>
    <w:p>
      <w:pPr>
        <w:pStyle w:val="Heading2"/>
        <w:keepNext/>
      </w:pPr>
      <w:r>
        <w:t>COMPETING INTERESTS</w:t>
      </w:r>
    </w:p>
    <w:p/>
    <w:p>
      <w:r>
        <w:t>The authors declare no competing interests.</w:t>
      </w:r>
    </w:p>
    <w:p/>
    <w:p/>
    <w:p/>
    <w:p>
      <w:r>
        <w:br w:type="page"/>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p/>
    <w:p>
      <w:r>
        <w:br w:type="page"/>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r>
        <w:t>Figure 3.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4.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br w:type="page"/>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the GREmLN team)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"ranked_regulators":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