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 xml:space="preserve">Where M(R) is the set of nodes with edges pointing to R, L(v) is the out-degree of node v (number of outbound edges), α = 0.85 is the damping factor, and N is the total number of nodes in the network. </w:t>
      </w:r>
      <w:r>
        <w:rPr>
          <w:b/>
        </w:rPr>
        <w:t>Directionality</w:t>
      </w:r>
      <w:r>
        <w:t>: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For large networks (≥1,000 nodes), PageRank values are normalized by dividing by the maximum PageRank in that network to ensure cross-network interpretability (range: 0-1).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15.49 seconds (rule-based) vs ~62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rPr>
          <w:b/>
        </w:rPr>
        <w:t>Software Environment:</w:t>
      </w:r>
      <w:r>
        <w:t xml:space="preserve">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br w:type="page"/>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 xml:space="preserve">To illustrate framework capabilities for hypothesis generation, we performed automated perturbation analysis on TP53, which has 7 upstream regulators in epithelial cells according to the ARACNe-inferred network. </w:t>
      </w:r>
      <w:r>
        <w:rPr>
          <w:b/>
        </w:rPr>
        <w:t>Table 3 shows all 7 regulators</w:t>
      </w:r>
      <w:r>
        <w:t xml:space="preserve"> (complete perturbation analysis), not a filtered subset.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 (32-35)</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 (37-39)</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 (32-35)</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Performance Benchmarking Against Manual Workflows</w:t>
      </w:r>
    </w:p>
    <w:p>
      <w:r>
        <w:t xml:space="preserve">To contextualize the efficiency gains, we compared RegNetAgents to representative manual workflows researchers currently perform. </w:t>
      </w:r>
      <w:r>
        <w:rPr>
          <w:b/>
        </w:rPr>
        <w:t>Table 4</w:t>
      </w:r>
      <w:r>
        <w:t xml:space="preserve"> presents estimated time requirements for typical analysis tasks.</w:t>
      </w:r>
    </w:p>
    <w:p>
      <w:r>
        <w:br w:type="page"/>
      </w:r>
    </w:p>
    <w:p>
      <w:r>
        <w:rPr>
          <w:b/>
        </w:rPr>
        <w:t>Table 4. Performance Comparison: Automated vs Manual Workflows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Task</w:t>
            </w:r>
          </w:p>
        </w:tc>
        <w:tc>
          <w:tcPr>
            <w:tcW w:type="dxa" w:w="2160"/>
          </w:tcPr>
          <w:p>
            <w:r>
              <w:rPr>
                <w:b/>
              </w:rPr>
              <w:t>Manual Workflow (Estimated)</w:t>
            </w:r>
          </w:p>
        </w:tc>
        <w:tc>
          <w:tcPr>
            <w:tcW w:type="dxa" w:w="2160"/>
          </w:tcPr>
          <w:p>
            <w:r>
              <w:rPr>
                <w:b/>
              </w:rPr>
              <w:t>RegNetAgents (Measured)</w:t>
            </w:r>
          </w:p>
        </w:tc>
        <w:tc>
          <w:tcPr>
            <w:tcW w:type="dxa" w:w="2160"/>
          </w:tcPr>
          <w:p>
            <w:r>
              <w:rPr>
                <w:b/>
              </w:rPr>
              <w:t>Speedup</w:t>
            </w:r>
          </w:p>
        </w:tc>
      </w:tr>
      <w:tr>
        <w:tc>
          <w:tcPr>
            <w:tcW w:type="dxa" w:w="2160"/>
          </w:tcPr>
          <w:p>
            <w:r>
              <w:t>Single gene network + regulators + targets</w:t>
            </w:r>
          </w:p>
        </w:tc>
        <w:tc>
          <w:tcPr>
            <w:tcW w:type="dxa" w:w="2160"/>
          </w:tcPr>
          <w:p>
            <w:r>
              <w:t>15-30 min (STRING/BioGRID query + export)</w:t>
            </w:r>
          </w:p>
        </w:tc>
        <w:tc>
          <w:tcPr>
            <w:tcW w:type="dxa" w:w="2160"/>
          </w:tcPr>
          <w:p>
            <w:r>
              <w:t>0.60 sec (rule-based)</w:t>
            </w:r>
          </w:p>
        </w:tc>
        <w:tc>
          <w:tcPr>
            <w:tcW w:type="dxa" w:w="2160"/>
          </w:tcPr>
          <w:p>
            <w:r>
              <w:t>~1,500-3,000×</w:t>
            </w:r>
          </w:p>
        </w:tc>
      </w:tr>
      <w:tr>
        <w:tc>
          <w:tcPr>
            <w:tcW w:type="dxa" w:w="2160"/>
          </w:tcPr>
          <w:p>
            <w:r>
              <w:t>Pathway enrichment (single gene)</w:t>
            </w:r>
          </w:p>
        </w:tc>
        <w:tc>
          <w:tcPr>
            <w:tcW w:type="dxa" w:w="2160"/>
          </w:tcPr>
          <w:p>
            <w:r>
              <w:t>10-15 min (Enrichr/DAVID upload + results)</w:t>
            </w:r>
          </w:p>
        </w:tc>
        <w:tc>
          <w:tcPr>
            <w:tcW w:type="dxa" w:w="2160"/>
          </w:tcPr>
          <w:p>
            <w:r>
              <w:t>1-3 sec (Reactome API)</w:t>
            </w:r>
          </w:p>
        </w:tc>
        <w:tc>
          <w:tcPr>
            <w:tcW w:type="dxa" w:w="2160"/>
          </w:tcPr>
          <w:p>
            <w:r>
              <w:t>~200-900×</w:t>
            </w:r>
          </w:p>
        </w:tc>
      </w:tr>
      <w:tr>
        <w:tc>
          <w:tcPr>
            <w:tcW w:type="dxa" w:w="2160"/>
          </w:tcPr>
          <w:p>
            <w:r>
              <w:t>Perturbation analysis (7 regulators)</w:t>
            </w:r>
          </w:p>
        </w:tc>
        <w:tc>
          <w:tcPr>
            <w:tcW w:type="dxa" w:w="2160"/>
          </w:tcPr>
          <w:p>
            <w:r>
              <w:t>2-4 hours (literature curation per regulator)</w:t>
            </w:r>
          </w:p>
        </w:tc>
        <w:tc>
          <w:tcPr>
            <w:tcW w:type="dxa" w:w="2160"/>
          </w:tcPr>
          <w:p>
            <w:r>
              <w:t>0.60 sec (automated)</w:t>
            </w:r>
          </w:p>
        </w:tc>
        <w:tc>
          <w:tcPr>
            <w:tcW w:type="dxa" w:w="2160"/>
          </w:tcPr>
          <w:p>
            <w:r>
              <w:t>~12,000-24,000×</w:t>
            </w:r>
          </w:p>
        </w:tc>
      </w:tr>
      <w:tr>
        <w:tc>
          <w:tcPr>
            <w:tcW w:type="dxa" w:w="2160"/>
          </w:tcPr>
          <w:p>
            <w:r>
              <w:t>Multi-domain interpretation (4 domains)</w:t>
            </w:r>
          </w:p>
        </w:tc>
        <w:tc>
          <w:tcPr>
            <w:tcW w:type="dxa" w:w="2160"/>
          </w:tcPr>
          <w:p>
            <w:r>
              <w:t>1-2 hours (sequential literature review)</w:t>
            </w:r>
          </w:p>
        </w:tc>
        <w:tc>
          <w:tcPr>
            <w:tcW w:type="dxa" w:w="2160"/>
          </w:tcPr>
          <w:p>
            <w:r>
              <w:t>~12 sec (4 parallel agents)</w:t>
            </w:r>
          </w:p>
        </w:tc>
        <w:tc>
          <w:tcPr>
            <w:tcW w:type="dxa" w:w="2160"/>
          </w:tcPr>
          <w:p>
            <w:r>
              <w:t>~300-600×</w:t>
            </w:r>
          </w:p>
        </w:tc>
      </w:tr>
      <w:tr>
        <w:tc>
          <w:tcPr>
            <w:tcW w:type="dxa" w:w="2160"/>
          </w:tcPr>
          <w:p>
            <w:r>
              <w:t>5-gene comprehensive analysis</w:t>
            </w:r>
          </w:p>
        </w:tc>
        <w:tc>
          <w:tcPr>
            <w:tcW w:type="dxa" w:w="2160"/>
          </w:tcPr>
          <w:p>
            <w:r>
              <w:t>8-16 hours (serial per-gene workflow)</w:t>
            </w:r>
          </w:p>
        </w:tc>
        <w:tc>
          <w:tcPr>
            <w:tcW w:type="dxa" w:w="2160"/>
          </w:tcPr>
          <w:p>
            <w:r>
              <w:t>15.49 sec (rule-based)</w:t>
            </w:r>
          </w:p>
        </w:tc>
        <w:tc>
          <w:tcPr>
            <w:tcW w:type="dxa" w:w="2160"/>
          </w:tcPr>
          <w:p>
            <w:r>
              <w:t>~1,900-3,700×</w:t>
            </w:r>
          </w:p>
        </w:tc>
      </w:tr>
      <w:tr>
        <w:tc>
          <w:tcPr>
            <w:tcW w:type="dxa" w:w="2160"/>
          </w:tcPr>
          <w:p>
            <w:r>
              <w:t>Cross-cell-type comparison (10 types)</w:t>
            </w:r>
          </w:p>
        </w:tc>
        <w:tc>
          <w:tcPr>
            <w:tcW w:type="dxa" w:w="2160"/>
          </w:tcPr>
          <w:p>
            <w:r>
              <w:t>4-8 hours (repeat workflow per type)</w:t>
            </w:r>
          </w:p>
        </w:tc>
        <w:tc>
          <w:tcPr>
            <w:tcW w:type="dxa" w:w="2160"/>
          </w:tcPr>
          <w:p>
            <w:r>
              <w:t>&lt;0.01 sec (pre-indexed)</w:t>
            </w:r>
          </w:p>
        </w:tc>
        <w:tc>
          <w:tcPr>
            <w:tcW w:type="dxa" w:w="216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r>
        <w:rPr>
          <w:b/>
        </w:rPr>
        <w:t>Key observations:</w:t>
      </w:r>
      <w:r>
        <w:t xml:space="preserve">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rPr>
          <w:b/>
        </w:rPr>
        <w:t>Example JSON Output:</w:t>
      </w:r>
      <w:r>
        <w:t xml:space="preserve"> The framework returns structured JSON responses. Example for TP53 analysis (abbreviated):</w:t>
      </w:r>
    </w:p>
    <w:p>
      <w:r>
        <w:t>```json</w:t>
      </w:r>
    </w:p>
    <w:p>
      <w:r>
        <w:t>{</w:t>
      </w:r>
    </w:p>
    <w:p>
      <w:r>
        <w:t>"gene_symbol": "TP53",</w:t>
      </w:r>
    </w:p>
    <w:p>
      <w:r>
        <w:t>"cell_type": "epithelial",</w:t>
      </w:r>
    </w:p>
    <w:p>
      <w:r>
        <w:t>"network_analysis": {</w:t>
      </w:r>
    </w:p>
    <w:p>
      <w:r>
        <w:t>"num_regulators": 7,</w:t>
      </w:r>
    </w:p>
    <w:p>
      <w:r>
        <w:t>"num_targets": 163,</w:t>
      </w:r>
    </w:p>
    <w:p>
      <w:r>
        <w:t>"regulatory_role": "Hub Regulator"</w:t>
      </w:r>
    </w:p>
    <w:p>
      <w:r>
        <w:t>},</w:t>
      </w:r>
    </w:p>
    <w:p>
      <w:r>
        <w:t>"perturbation_analysis": {</w:t>
      </w:r>
    </w:p>
    <w:p>
      <w:r>
        <w:t>"regulators": [</w:t>
      </w:r>
    </w:p>
    <w:p>
      <w:r>
        <w:t>{"gene": "WWTR1", "pagerank": 0.473, "out_degree_centrality": 0.020, "targets": 293},</w:t>
      </w:r>
    </w:p>
    <w:p>
      <w:r>
        <w:t>{"gene": "RBPMS", "pagerank": 0.469, "out_degree_centrality": 0.028, "targets": 403}</w:t>
      </w:r>
    </w:p>
    <w:p>
      <w:r>
        <w:t>]</w:t>
      </w:r>
    </w:p>
    <w:p>
      <w:r>
        <w:t>},</w:t>
      </w:r>
    </w:p>
    <w:p>
      <w:r>
        <w:t>"pathway_enrichment": [</w:t>
      </w:r>
    </w:p>
    <w:p>
      <w:r>
        <w:t>{"pathway": "TP53 Regulation", "fdr": 0.001, "entities_found": 12}</w:t>
      </w:r>
    </w:p>
    <w:p>
      <w:r>
        <w:t>]</w:t>
      </w:r>
    </w:p>
    <w:p>
      <w:r>
        <w:t>}</w:t>
      </w:r>
    </w:p>
    <w:p>
      <w:r>
        <w:t>```</w:t>
      </w:r>
    </w:p>
    <w:p>
      <w:r>
        <w:rPr>
          <w:b/>
        </w:rPr>
        <w:t>Data and License Information:</w:t>
      </w:r>
      <w:r>
        <w:t xml:space="preserve">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