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(minimal regulatory architecture)</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heavily regulated: CCND1; weakly regulated: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