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characterized regulatory architectures (hub regulators vs. heavily regulated genes) that align with known biological roles. For TP53, top-ranked upstream regulators included literature-supported interactors (WWTR1, YAP1, CHD4) identified by network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RegNetAgents leverages the GREmLN team's pre-computed ARACNe networks as input data for multi-agent analysis, but does not employ the GREmLN foundation model for prediction or inference tasks.</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perturbation experiments.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crosscellcomparison: Regulatory role comparison across all 10 cell types</w:t>
      </w:r>
    </w:p>
    <w:p>
      <w:r>
        <w:t>5. workflow_status: Real-time execution monitoring</w:t>
      </w:r>
    </w:p>
    <w:p>
      <w:r>
        <w:t>6. workflow_insights: Performance analytics and routing decisions</w:t>
      </w:r>
    </w:p>
    <w:p>
      <w:r>
        <w:t>7. createanalysisreport: Generate formatted analysis summaries</w:t>
      </w:r>
    </w:p>
    <w:p>
      <w:r>
        <w:t>8. loadgeneresults: Load previously saved analysis results</w:t>
      </w:r>
    </w:p>
    <w:p>
      <w:r>
        <w:t>9. listavailableresults: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3).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perturbation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"perturbation_results":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