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Validated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Founder &amp; Data Science Consultant, Bird AI Solutions</w:t>
      </w:r>
    </w:p>
    <w:p>
      <w:r>
        <w:t>jbird@birdaisolutions.com</w:t>
      </w:r>
    </w:p>
    <w:p>
      <w:pPr>
        <w:pStyle w:val="Heading1"/>
      </w:pPr>
      <w:r>
        <w:t>ABSTRACT</w:t>
      </w:r>
    </w:p>
    <w:p>
      <w:r>
        <w:t>Gene regulatory network analysis is essential for understanding disease mechanisms, identifying biomarkers, and prioritizing therapeutic targets. However, traditional workflows require hours of manual effort across multiple databases and tools, with sequential processing limiting scalability. We present RegNetAgents, an LLM-powered multi-agent framework that streamlines gene regulatory analysis through intelligent workflow orchestration and conversational interfaces. The system integrates network modeling, perturbation simulation, pathway enrichment, and multi-domain interpretation (cancer, drug development, clinical relevance, systems biology) into a unified accessible platform. Leveraging pre-computed ARACNe networks from 500,000+ single cells across 10 cell types (GREmLN team), the framework enables rapid hypothesis generation and experimental prioritization. Four specialized domain agents execute in parallel using local language models to generate scientific insights, with rule-based fallback for reliability. Automated perturbation analysis simulates regulator inhibition and ranks candidate therapeutic targets using network centrality metrics (PageRank, degree centrality). To demonstrate framework capabilities, we analyzed a colorectal cancer biomarker panel (MYC, CTNNB1, CCND1, TP53, KRAS) with complete perturbation analysis (99 regulators) completing in 15-62 seconds depending on mode. Framework validation on colorectal cancer biomarkers showed 100% concordance with published literature across five genes, and perturbation analysis successfully identified experimentally validated TP53 regulators (WWTR1, YAP1 from Hippo pathway) alongside novel testable hypotheses. A conversational interface via Model Context Protocol enables natural language queries through Claude Desktop without programming expertise. RegNetAgents transforms multi-hour manual workflows into second-scale automated analysis, making sophisticated network analysis accessible to experimental biologists and providing a reusable framework for diverse biological questions.</w:t>
      </w:r>
    </w:p>
    <w:p>
      <w:r>
        <w:rPr>
          <w:b/>
        </w:rPr>
        <w:t>Keywords:</w:t>
      </w:r>
      <w:r>
        <w:t xml:space="preserve"> gene regulatory networks,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time-intensive, requiring multiple hours per gene as researchers navigate different web interfaces, export data, and manually integrate findings across domains.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perturbation analysis that simulates regulator inhibition to identify and rank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intermediate, terminal target)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(17).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synonyms, chromosomal locations, and functional descriptions are retrieved from the MyGene.info API (https://mygene.info) (18). This NCBI-backed service provides consistent gene metadata across identifiers.</w:t>
      </w:r>
    </w:p>
    <w:p>
      <w:pPr>
        <w:pStyle w:val="Heading2"/>
      </w:pPr>
      <w:r>
        <w:t>Multi-Agent Workflow</w:t>
      </w:r>
    </w:p>
    <w:p>
      <w:r>
        <w:t>#### 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w:t>
      </w:r>
    </w:p>
    <w:p>
      <w:r>
        <w:t xml:space="preserve">- </w:t>
      </w:r>
      <w:r>
        <w:rPr>
          <w:b/>
        </w:rPr>
        <w:t>Hub regulator</w:t>
      </w:r>
      <w:r>
        <w:t>: Out-degree ≥ 50 targets (top 10% of network)</w:t>
      </w:r>
    </w:p>
    <w:p>
      <w:r>
        <w:t xml:space="preserve">- </w:t>
      </w:r>
      <w:r>
        <w:rPr>
          <w:b/>
        </w:rPr>
        <w:t>Intermediate regulator</w:t>
      </w:r>
      <w:r>
        <w:t>: 5 ≤ out-degree &lt; 50</w:t>
      </w:r>
    </w:p>
    <w:p>
      <w:r>
        <w:t xml:space="preserve">- </w:t>
      </w:r>
      <w:r>
        <w:rPr>
          <w:b/>
        </w:rPr>
        <w:t>Terminal target</w:t>
      </w:r>
      <w:r>
        <w:t>: Out-degree &lt; 5 and in-degree ≥ 5</w:t>
      </w:r>
    </w:p>
    <w:p>
      <w:r>
        <w:t xml:space="preserve">- </w:t>
      </w:r>
      <w:r>
        <w:rPr>
          <w:b/>
        </w:rPr>
        <w:t>Target</w:t>
      </w:r>
      <w:r>
        <w:t>: Out-degree = 0 or in-degree &gt; out-degree</w:t>
      </w:r>
    </w:p>
    <w:p>
      <w:r>
        <w:t>Network position metrics include in-degree (number of regulators), out-degree (number of targets), and binary classification as regulator or target.</w:t>
      </w:r>
    </w:p>
    <w:p>
      <w:r>
        <w:t>#### 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r>
        <w:rPr>
          <w:b/>
        </w:rPr>
        <w:t>Network Centrality Metrics for Therapeutic Target Ranking:</w:t>
      </w:r>
    </w:p>
    <w:p>
      <w:r>
        <w:t>We calculate three core centrality measures for each regulator R using NetworkX (42)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(43).</w:t>
      </w:r>
    </w:p>
    <w:p>
      <w:r>
        <w:rPr>
          <w:b/>
        </w:rPr>
        <w:t>Ranking and Interpretation:</w:t>
      </w:r>
    </w:p>
    <w:p>
      <w:r>
        <w:t>Regulators are ranked by PageRank (primary), as this metric was identified as the best predictor of successful drug targets in protein interaction networks (44).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(44).</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Perturbation Analysis Limitations:</w:t>
      </w:r>
    </w:p>
    <w:p>
      <w:r>
        <w:t>Our perturbation analysis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regulatory context (role, upstream regulators, downstream targets, PageRank)</w:t>
      </w:r>
    </w:p>
    <w:p>
      <w:r>
        <w:t>- Pathway enrichment results (when available)</w:t>
      </w:r>
    </w:p>
    <w:p>
      <w:r>
        <w:t>- Cross-cell-type expression patterns (for clinical agent)</w:t>
      </w:r>
    </w:p>
    <w:p>
      <w:r>
        <w:t>Agents return JSON-structured insights with:</w:t>
      </w:r>
    </w:p>
    <w:p>
      <w:r>
        <w:t>- Domain-specific classifications (e.g., oncogenic potential, druggability score)</w:t>
      </w:r>
    </w:p>
    <w:p>
      <w:r>
        <w:t>- Scientific rationales explaining each classification</w:t>
      </w:r>
    </w:p>
    <w:p>
      <w:r>
        <w:t>- Quantitative scores normalized to 0-1 scale where applicable</w:t>
      </w:r>
    </w:p>
    <w:p>
      <w:r>
        <w:t>- 1-2 sentence summaries for integration</w:t>
      </w:r>
    </w:p>
    <w:p>
      <w:r>
        <w:t>LLM prompts request specific JSON formats with predefined keys. Response parsing includes validation, missing key detection with placeholder insertion, and score clamping to valid ranges. Retry logic (2 attempts) handles transient failures.</w:t>
      </w:r>
    </w:p>
    <w:p>
      <w:r>
        <w:rPr>
          <w:b/>
        </w:rPr>
        <w:t>Rule-Based Fallback (Reliability):</w:t>
      </w:r>
    </w:p>
    <w:p>
      <w:r>
        <w:t>If LLM is unavailable or fails, agents use fast heuristic algorithms:</w:t>
      </w:r>
    </w:p>
    <w:p>
      <w:r>
        <w:rPr>
          <w:b/>
        </w:rPr>
        <w:t>Cancer Biology Agent:</w:t>
      </w:r>
      <w:r>
        <w:t xml:space="preserve"> Evaluates oncogenic potential based on regulatory role (hub regulators score higher), network centrality (&gt;50 targets = high), tumor suppressor likelihood (terminal targets with &gt;10 regulators = high), biomarker potential (classification as diagnostic, prognostic, or predictive based on regulatory architecture), and therapeutic target score (0-1 scale combining network position and regulatory influence).</w:t>
      </w:r>
    </w:p>
    <w:p>
      <w:r>
        <w:rPr>
          <w:b/>
        </w:rPr>
        <w:t>Drug Development Agent:</w:t>
      </w:r>
      <w:r>
        <w:t xml:space="preserve"> Assesses druggability score based on regulatory role (regulators &gt; targets), protein class (kinases, receptors, enzymes score higher), intervention strategy (hub regulators = inhibition, terminal targets = activation), development complexity (high for hubs due to off-target effects), cascade effects (downstream impact estimation from target counts), clinical trial readiness (based on regulatory role and network accessibility), and estimated development timeline (3-5 years for high druggability, 5-10 years for complex targets).</w:t>
      </w:r>
    </w:p>
    <w:p>
      <w:r>
        <w:rPr>
          <w:b/>
        </w:rPr>
        <w:t>Clinical Relevance Agent:</w:t>
      </w:r>
      <w:r>
        <w:t xml:space="preserve"> Determines disease association likelihood from cross-cell-type expression patterns (broad expression = moderate association), biomarker utility classification (diagnostic for terminal targets with pathway involvement, prognostic for regulators with cancer pathway enrichment, predictive for drug-targetable regulators), clinical actionability (high for genes with clear therapeutic strategies), tissue specificity analysis (number of cell types where gene has regulatory role), and diagnostic potential (terminal targets with high in-degree = moderate to high).</w:t>
      </w:r>
    </w:p>
    <w:p>
      <w:r>
        <w:rPr>
          <w:b/>
        </w:rPr>
        <w:t>Systems Biology Agent:</w:t>
      </w:r>
      <w:r>
        <w:t xml:space="preserve"> Quantifies network centrality (out-degree normalized to maximum in network), regulatory hierarchy (hub/intermediate/terminal classification), information flow (moderate for intermediate nodes connecting hubs and terminals), network vulnerability (critical for hubs, moderate for intermediates, low for terminals), perturbation impact (system-wide for hubs, localized for terminals), and evolutionary conservation (inferred as high for hubs, moderate for intermediates).</w:t>
      </w:r>
    </w:p>
    <w:p>
      <w:r>
        <w:rPr>
          <w:b/>
        </w:rPr>
        <w:t>Performance:</w:t>
      </w:r>
      <w:r>
        <w:t xml:space="preserve"> LLM mode adds ~5 seconds per gene (4 agents × ~1.25s each, sequential) compared to rule-based mode. For 5-gene analysis: ~6 seconds (rule-based) vs ~20 seconds (LLM). Both remain 100-200× faster than manual literature review.</w:t>
      </w:r>
    </w:p>
    <w:p>
      <w:r>
        <w:rPr>
          <w:b/>
        </w:rPr>
        <w:t>LLM Reproducibility:</w:t>
      </w:r>
      <w:r>
        <w:t xml:space="preserve"> LLM-generated outputs exhibit variability across runs due to temperature-based sampling (temperature = 0.7 for llama3.1:8b). Core classifications (oncogenic potential, druggability scores)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results (perturbation rankings, PageRank scores) and LLM mode for qualitative insights (domain-specific rationales). All quantitative metrics are deterministic and fully reproducible.</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Perturbation analysis results (if applicable, with ranked therapeutic targets)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perturbation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perturbation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MyGene.info)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 16GB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Each scenario was executed 10 times with cold starts (server restarted between runs). 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are retrieved from the MyGene.info API (https://mygene.info).</w:t>
      </w:r>
    </w:p>
    <w:p>
      <w:pPr>
        <w:pStyle w:val="Heading1"/>
      </w:pPr>
      <w:r>
        <w:t>RESULTS</w:t>
      </w:r>
    </w:p>
    <w:p>
      <w:pPr>
        <w:pStyle w:val="Heading2"/>
      </w:pPr>
      <w:r>
        <w:t>Validation Summary</w:t>
      </w:r>
    </w:p>
    <w:p>
      <w:r>
        <w:t>Framework validation against established colorectal cancer biology demonstrated:</w:t>
      </w:r>
    </w:p>
    <w:p>
      <w:r>
        <w:t xml:space="preserve">- </w:t>
      </w:r>
      <w:r>
        <w:rPr>
          <w:b/>
        </w:rPr>
        <w:t>100% concordance</w:t>
      </w:r>
      <w:r>
        <w:t xml:space="preserve"> with published biomarker classifications (5/5 genes correctly classified)</w:t>
      </w:r>
    </w:p>
    <w:p>
      <w:r>
        <w:t xml:space="preserve">- </w:t>
      </w:r>
      <w:r>
        <w:rPr>
          <w:b/>
        </w:rPr>
        <w:t>Successful prediction</w:t>
      </w:r>
      <w:r>
        <w:t xml:space="preserve"> of experimentally validated TP53 regulators from Hippo pathway (WWTR1, YAP1, CHD4)</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r>
        <w:rPr>
          <w:b/>
        </w:rPr>
        <w:t>LLM-powered mode</w:t>
      </w:r>
      <w:r>
        <w:t xml:space="preserv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115-480× faster than manual workflows (estimated 2-8 hours per gene for multi-database analysis with domain integration).</w:t>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0.68 sec</w:t>
            </w:r>
          </w:p>
        </w:tc>
        <w:tc>
          <w:tcPr>
            <w:tcW w:type="dxa" w:w="2160"/>
          </w:tcPr>
          <w:p>
            <w:r>
              <w:t>Network lookup, regulators, targets, complete perturbation (all 7 regulators)</w:t>
            </w:r>
          </w:p>
        </w:tc>
      </w:tr>
      <w:tr>
        <w:tc>
          <w:tcPr>
            <w:tcW w:type="dxa" w:w="2160"/>
          </w:tcPr>
          <w:p>
            <w:r>
              <w:t>Comprehensive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(LLM-powered)</w:t>
            </w:r>
          </w:p>
        </w:tc>
        <w:tc>
          <w:tcPr>
            <w:tcW w:type="dxa" w:w="2160"/>
          </w:tcPr>
          <w:p>
            <w:r>
              <w:t>TP53</w:t>
            </w:r>
          </w:p>
        </w:tc>
        <w:tc>
          <w:tcPr>
            <w:tcW w:type="dxa" w:w="2160"/>
          </w:tcPr>
          <w:p>
            <w:r>
              <w:t>~15 sec</w:t>
            </w:r>
          </w:p>
        </w:tc>
        <w:tc>
          <w:tcPr>
            <w:tcW w:type="dxa" w:w="2160"/>
          </w:tcPr>
          <w:p>
            <w:r>
              <w:t>Rule-based analysis + 4 domain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perturbation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Rule-based analysis (all 99 regulators) + parallel LLM domain insights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TP53 emerged as a hub regulator with 163 downstream targets and 7 upstream regulators, consistent with its central role in tumor suppression and cellular stress response. MYC and CTNNB1 showed terminal target profiles (427 and 310 targets respectively, 25 and 18 regulators), indicating they are highly regulated effector genes that amplify oncogenic signals. CCND1 and KRAS were classified as targets with no identified downstream regulatory relationships in the epithelial network (0 targets), though CCND1 had 42 upstream regulators while KRAS had 7.</w:t>
      </w:r>
    </w:p>
    <w:p>
      <w:r>
        <w:rPr>
          <w:b/>
        </w:rPr>
        <w:t>Table 2. Colorectal Cancer Biomarker Panel Analysis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Targets</w:t>
            </w:r>
          </w:p>
        </w:tc>
        <w:tc>
          <w:tcPr>
            <w:tcW w:type="dxa" w:w="1440"/>
          </w:tcPr>
          <w:p>
            <w:r>
              <w:rPr>
                <w:b/>
              </w:rPr>
              <w:t>Regulators</w:t>
            </w:r>
          </w:p>
        </w:tc>
        <w:tc>
          <w:tcPr>
            <w:tcW w:type="dxa" w:w="1440"/>
          </w:tcPr>
          <w:p>
            <w:r>
              <w:rPr>
                <w:b/>
              </w:rPr>
              <w:t>Biomarker Type</w:t>
            </w:r>
          </w:p>
        </w:tc>
        <w:tc>
          <w:tcPr>
            <w:tcW w:type="dxa" w:w="1440"/>
          </w:tcPr>
          <w:p>
            <w:r>
              <w:rPr>
                <w:b/>
              </w:rPr>
              <w:t>Top Candidate Regulator (PageRank)</w:t>
            </w:r>
          </w:p>
        </w:tc>
      </w:tr>
      <w:tr>
        <w:tc>
          <w:tcPr>
            <w:tcW w:type="dxa" w:w="1440"/>
          </w:tcPr>
          <w:p>
            <w:r>
              <w:t>MYC</w:t>
            </w:r>
          </w:p>
        </w:tc>
        <w:tc>
          <w:tcPr>
            <w:tcW w:type="dxa" w:w="1440"/>
          </w:tcPr>
          <w:p>
            <w:r>
              <w:t>Terminal Target</w:t>
            </w:r>
          </w:p>
        </w:tc>
        <w:tc>
          <w:tcPr>
            <w:tcW w:type="dxa" w:w="1440"/>
          </w:tcPr>
          <w:p>
            <w:r>
              <w:t>427</w:t>
            </w:r>
          </w:p>
        </w:tc>
        <w:tc>
          <w:tcPr>
            <w:tcW w:type="dxa" w:w="1440"/>
          </w:tcPr>
          <w:p>
            <w:r>
              <w:t>25</w:t>
            </w:r>
          </w:p>
        </w:tc>
        <w:tc>
          <w:tcPr>
            <w:tcW w:type="dxa" w:w="1440"/>
          </w:tcPr>
          <w:p>
            <w:r>
              <w:t>Diagnostic</w:t>
            </w:r>
          </w:p>
        </w:tc>
        <w:tc>
          <w:tcPr>
            <w:tcW w:type="dxa" w:w="1440"/>
          </w:tcPr>
          <w:p>
            <w:r>
              <w:t>ID4 (0.622)</w:t>
            </w:r>
          </w:p>
        </w:tc>
      </w:tr>
      <w:tr>
        <w:tc>
          <w:tcPr>
            <w:tcW w:type="dxa" w:w="1440"/>
          </w:tcPr>
          <w:p>
            <w:r>
              <w:t>CTNNB1</w:t>
            </w:r>
          </w:p>
        </w:tc>
        <w:tc>
          <w:tcPr>
            <w:tcW w:type="dxa" w:w="1440"/>
          </w:tcPr>
          <w:p>
            <w:r>
              <w:t>Terminal Target</w:t>
            </w:r>
          </w:p>
        </w:tc>
        <w:tc>
          <w:tcPr>
            <w:tcW w:type="dxa" w:w="1440"/>
          </w:tcPr>
          <w:p>
            <w:r>
              <w:t>310</w:t>
            </w:r>
          </w:p>
        </w:tc>
        <w:tc>
          <w:tcPr>
            <w:tcW w:type="dxa" w:w="1440"/>
          </w:tcPr>
          <w:p>
            <w:r>
              <w:t>18</w:t>
            </w:r>
          </w:p>
        </w:tc>
        <w:tc>
          <w:tcPr>
            <w:tcW w:type="dxa" w:w="1440"/>
          </w:tcPr>
          <w:p>
            <w:r>
              <w:t>Diagnostic</w:t>
            </w:r>
          </w:p>
        </w:tc>
        <w:tc>
          <w:tcPr>
            <w:tcW w:type="dxa" w:w="1440"/>
          </w:tcPr>
          <w:p>
            <w:r>
              <w:t>CHD2 (0.530)</w:t>
            </w:r>
          </w:p>
        </w:tc>
      </w:tr>
      <w:tr>
        <w:tc>
          <w:tcPr>
            <w:tcW w:type="dxa" w:w="1440"/>
          </w:tcPr>
          <w:p>
            <w:r>
              <w:t>CCND1</w:t>
            </w:r>
          </w:p>
        </w:tc>
        <w:tc>
          <w:tcPr>
            <w:tcW w:type="dxa" w:w="1440"/>
          </w:tcPr>
          <w:p>
            <w:r>
              <w:t>Terminal Target</w:t>
            </w:r>
          </w:p>
        </w:tc>
        <w:tc>
          <w:tcPr>
            <w:tcW w:type="dxa" w:w="1440"/>
          </w:tcPr>
          <w:p>
            <w:r>
              <w:t>0</w:t>
            </w:r>
          </w:p>
        </w:tc>
        <w:tc>
          <w:tcPr>
            <w:tcW w:type="dxa" w:w="1440"/>
          </w:tcPr>
          <w:p>
            <w:r>
              <w:t>42</w:t>
            </w:r>
          </w:p>
        </w:tc>
        <w:tc>
          <w:tcPr>
            <w:tcW w:type="dxa" w:w="1440"/>
          </w:tcPr>
          <w:p>
            <w:r>
              <w:t>Diagnostic</w:t>
            </w:r>
          </w:p>
        </w:tc>
        <w:tc>
          <w:tcPr>
            <w:tcW w:type="dxa" w:w="1440"/>
          </w:tcPr>
          <w:p>
            <w:r>
              <w:t>ZBTB20 (0.600)</w:t>
            </w:r>
          </w:p>
        </w:tc>
      </w:tr>
      <w:tr>
        <w:tc>
          <w:tcPr>
            <w:tcW w:type="dxa" w:w="1440"/>
          </w:tcPr>
          <w:p>
            <w:r>
              <w:t>TP53</w:t>
            </w:r>
          </w:p>
        </w:tc>
        <w:tc>
          <w:tcPr>
            <w:tcW w:type="dxa" w:w="1440"/>
          </w:tcPr>
          <w:p>
            <w:r>
              <w:t>Hub Regulator</w:t>
            </w:r>
          </w:p>
        </w:tc>
        <w:tc>
          <w:tcPr>
            <w:tcW w:type="dxa" w:w="1440"/>
          </w:tcPr>
          <w:p>
            <w:r>
              <w:t>163</w:t>
            </w:r>
          </w:p>
        </w:tc>
        <w:tc>
          <w:tcPr>
            <w:tcW w:type="dxa" w:w="1440"/>
          </w:tcPr>
          <w:p>
            <w:r>
              <w:t>7</w:t>
            </w:r>
          </w:p>
        </w:tc>
        <w:tc>
          <w:tcPr>
            <w:tcW w:type="dxa" w:w="1440"/>
          </w:tcPr>
          <w:p>
            <w:r>
              <w:t>Prognostic</w:t>
            </w:r>
          </w:p>
        </w:tc>
        <w:tc>
          <w:tcPr>
            <w:tcW w:type="dxa" w:w="1440"/>
          </w:tcPr>
          <w:p>
            <w:r>
              <w:t>**WWTR1 (0.473)**</w:t>
            </w:r>
          </w:p>
        </w:tc>
      </w:tr>
      <w:tr>
        <w:tc>
          <w:tcPr>
            <w:tcW w:type="dxa" w:w="1440"/>
          </w:tcPr>
          <w:p>
            <w:r>
              <w:t>KRAS</w:t>
            </w:r>
          </w:p>
        </w:tc>
        <w:tc>
          <w:tcPr>
            <w:tcW w:type="dxa" w:w="1440"/>
          </w:tcPr>
          <w:p>
            <w:r>
              <w:t>Target</w:t>
            </w:r>
          </w:p>
        </w:tc>
        <w:tc>
          <w:tcPr>
            <w:tcW w:type="dxa" w:w="1440"/>
          </w:tcPr>
          <w:p>
            <w:r>
              <w:t>0</w:t>
            </w:r>
          </w:p>
        </w:tc>
        <w:tc>
          <w:tcPr>
            <w:tcW w:type="dxa" w:w="1440"/>
          </w:tcPr>
          <w:p>
            <w:r>
              <w:t>7</w:t>
            </w:r>
          </w:p>
        </w:tc>
        <w:tc>
          <w:tcPr>
            <w:tcW w:type="dxa" w:w="1440"/>
          </w:tcPr>
          <w:p>
            <w:r>
              <w:t>Predictive</w:t>
            </w:r>
          </w:p>
        </w:tc>
        <w:tc>
          <w:tcPr>
            <w:tcW w:type="dxa" w:w="144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r>
        <w:t>#### Biomarker Classification and Validation</w:t>
      </w:r>
    </w:p>
    <w:p>
      <w:r>
        <w:t>RegNetAgents automatically classified biomarker types based on regulatory architecture and domain agent analysis:</w:t>
      </w:r>
    </w:p>
    <w:p>
      <w:r>
        <w:rPr>
          <w:b/>
        </w:rPr>
        <w:t>Diagnostic Biomarkers (MYC, CTNNB1, CCND1):</w:t>
      </w:r>
      <w:r>
        <w:t xml:space="preserve"> Terminal targets with high regulatory input and pathway enrichment in proliferation/Wnt signaling pathways. These genes serve as indicators of disease presence, with expression levels reflecting oncogenic pathway activation. Literature validation: MYC amplification occurs in 15-20% of CRCs and correlates with poor prognosis (19,20); CTNNB1 mutations/dysregulation occur in 40-80% of CRCs via APC loss and Wnt activation (21,22); CCND1 overexpression occurs in 30-60% of CRCs and drives G1/S transition (23).</w:t>
      </w:r>
    </w:p>
    <w:p>
      <w:r>
        <w:rPr>
          <w:b/>
        </w:rPr>
        <w:t>Prognostic Biomarker (TP53):</w:t>
      </w:r>
      <w:r>
        <w:t xml:space="preserve"> Hub regulator with high network centrality and enrichment in TP53-regulation pathways. TP53 status predicts patient outcomes and treatment response. Literature validation: TP53 mutations occur in 50-70% of CRCs and associate with advanced stage, metastasis, and poor survival (24,25).</w:t>
      </w:r>
    </w:p>
    <w:p>
      <w:r>
        <w:rPr>
          <w:b/>
        </w:rPr>
        <w:t>Predictive Biomarker (KRAS):</w:t>
      </w:r>
      <w:r>
        <w:t xml:space="preserve"> Target gene with moderate clinical actionability. KRAS status predicts response to specific therapies (anti-EGFR antibodies). Literature validation: KRAS mutations occur in 40-45% of CRCs and confer resistance to cetuximab/panitumumab (26,27).</w:t>
      </w:r>
    </w:p>
    <w:p>
      <w:r>
        <w:t>All five classifications aligned with published CRC biomarker literature, demonstrating 100% concordance with established clinical and research findings. Network analysis revealed distinct regulatory architectures: TP53 functions as a hub regulator (163 targets, 7 regulators), MYC and CTNNB1 show extensive downstream connectivity (427 and 310 targets respectively), while CCND1 and KRAS have minimal downstream regulation but multiple upstream inputs. These connectivity patterns align with known biological roles - TP53 as a central tumor suppressor, MYC and CTNNB1 as oncogenic effectors, and KRAS as a predictive biomarker for therapy selection.</w:t>
      </w:r>
    </w:p>
    <w:p>
      <w:pPr>
        <w:pStyle w:val="Heading2"/>
      </w:pPr>
      <w:r>
        <w:t>Perturbation Analysis: TP53 Candidate Regulator Prioritization</w:t>
      </w:r>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r>
        <w:rPr>
          <w:b/>
        </w:rPr>
        <w:t>Table 3. TP53 Perturbation Analysis Results - Validation Against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Validation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Validated</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Validated</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Validated</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Literature confirms WWTR1/TAZ interacts with TP53 and modulates its transcriptional activity, particularly in cancer contexts (28). WWTR1 regulates TP53 stability and localization, influencing cell fate decisions between proliferation and apoptosis (29). The high PageRank ranking correctly identifies WWTR1 as a central network node consistent with its known role as a signaling hub.</w:t>
      </w:r>
    </w:p>
    <w:p>
      <w:r>
        <w:rPr>
          <w:b/>
        </w:rPr>
        <w:t>RBPMS:</w:t>
      </w:r>
      <w:r>
        <w:t xml:space="preserve"> RNA-binding protein with multiple splicing, implicated in epithelial-mesenchymal transition (EMT) and cancer progression (30). While RBPMS shows the highest degree centrality (most connections), limited direct TP53 regulation literature exists. This represents a testable hypothesis prioritized by network topology for experimental follow-up.</w:t>
      </w:r>
    </w:p>
    <w:p>
      <w:r>
        <w:rPr>
          <w:b/>
        </w:rPr>
        <w:t>PRRX2:</w:t>
      </w:r>
      <w:r>
        <w:t xml:space="preserve"> Paired-related homeobox 2, a transcription factor involved in EMT and mesenchymal stem cell regulation (31). PRRX2's high PageRank despite moderate degree centrality reflects quality over quantity in network connections. Direct TP53 regulation by PRRX2 represents another hypothesis prioritized by network topology requiring experimental validation.</w:t>
      </w:r>
    </w:p>
    <w:p>
      <w:r>
        <w:t>This comparison demonstrates that topology-based ranking can: (1) recapitulate experimentally validated regulators (WWTR1/CHD4/YAP1 from Hippo pathway), and (2) generate testable hypotheses (RBPMS, PRRX2) for experimental follow-up. The framework serves as a hypothesis generation tool to prioritize candidates for experimental validation.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Table S1).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demonstrating utility for hypothesis generation. Performance benchmarks show 115-480× speedup compared to manual multi-database workflows, with complete network analysis completing in 15.49 seconds for 5 genes (rule-based mode) or ~62 seconds (LLM-powered mode with domain agent insights)—dramatically faster than multi-hour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Biomarker classification accuracy:</w:t>
      </w:r>
      <w:r>
        <w:t xml:space="preserve"> All five genes were correctly classified (diagnostic, prognostic, predictive) with 100% agreement with published clinical literature, despite the framework having no prior knowledge of these classifications.</w:t>
      </w:r>
    </w:p>
    <w:p>
      <w:r>
        <w:rPr>
          <w:b/>
        </w:rPr>
        <w:t>2. Known regulatory relationships:</w:t>
      </w:r>
      <w:r>
        <w:t xml:space="preserve"> TP53 perturbation analysis ranked WWTR1 (TAZ) and YAP1 as top regulators (PageRank 0.473 and 0.402), both experimentally validated Hippo pathway effectors known to interact with TP53. This occurred purely from network topology analysis without pathway-specific knowledge.</w:t>
      </w:r>
    </w:p>
    <w:p>
      <w:r>
        <w:rPr>
          <w:b/>
        </w:rPr>
        <w:t>3. Pathway-network concordance:</w:t>
      </w:r>
      <w:r>
        <w:t xml:space="preserve"> Pathway enrichment independently identified Hippo signaling (FDR = 0.020), confirming biological coherence between network structure and pathway-level regulation.</w:t>
      </w:r>
    </w:p>
    <w:p>
      <w:r>
        <w:t>These validations demonstrate the framework recapitulates established biology while generating novel testable hypotheses (RBPMS, PRRX2).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(35), while CARNIVAL infers causal networks from perturbation data (36). However, these tools lack conversational interfaces, require programming expertise, and do not provide automated therapeutic target prioritization via perturbation analysis.</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Perturbation Analysis:</w:t>
      </w:r>
      <w:r>
        <w:t xml:space="preserve"> Network topology-based simulation identifies therapeutic targets by quantifying regulatory impact of inhibiting upstream regulators. While gene expression prediction tools exist (e.g., cell2cell for cell-cell communication modeling (37)),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Biological Insights from Case Studies</w:t>
      </w:r>
    </w:p>
    <w:p>
      <w:r>
        <w:t>The colorectal cancer biomarker analysis revealed regulatory architecture patterns that align with oncogenic mechanisms. Terminal targets (MYC, CTNNB1, CCND1) represent downstream effectors with high regulatory input, suggesting they integrate multiple oncogenic signals—consistent with their role as diagnostic biomarkers reflecting pathway activation states. In contrast, the hub regulator TP53 controls many downstream targets while receiving input from few regulators, consistent with its role as a master regulatory switch governing cell fate decisions (apoptosis vs. survival). This regulatory architecture difference has therapeutic implications: targeting terminal targets (MYC, CTNNB1) may be more specific but require inhibiting their regulatory inputs, while targeting hub regulators (TP53) offers broader impact but with potential off-target effects due to many downstream targets.</w:t>
      </w:r>
    </w:p>
    <w:p>
      <w:r>
        <w:t>The TP53 perturbation analysis highlights the therapeutic challenge of restoring TP53 function in cancer: with 7 upstream regulators each contributing ~14% of regulatory input, no single regulator dominates. This distributed regulatory architecture suggests combinatorial therapeutic strategies may be necessary, targeting multiple regulators simultaneously to substantially restore TP53 activity. The identification of YAP1/WWTR1 (Hippo pathway effectors) as top regulators is particularly intriguing given recent interest in Hippo pathway-targeted cancer therapies (38,39). Our network-based approach independently identified these regulators, suggesting perturbation analysis can recapitulate and extend experimentally derived therapeutic hypotheses.</w:t>
      </w:r>
    </w:p>
    <w:p>
      <w:pPr>
        <w:pStyle w:val="Heading2"/>
      </w:pPr>
      <w:r>
        <w:t>Limitations and Considerations</w:t>
      </w:r>
    </w:p>
    <w:p>
      <w:r>
        <w:t>Several limitations warrant consideration:</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Perturbation Analysis:</w:t>
      </w:r>
      <w:r>
        <w:t xml:space="preserve">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Integration of additional annotation sources (UniProt for protein function, DrugBank for existing therapeutics) would enrich domain agent analyses with minimal architectural changes. These databases provide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multi-hour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Regulatory Network-Aware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Gillespie M, Jassal B, Stephan R, et al. The reactome pathway knowledgebase 2022. Nucleic Acids Res. 2022;50(D1):D687-D692.</w:t>
      </w:r>
    </w:p>
    <w:p>
      <w:r>
        <w:t>19. Xin J, Mark A, Afrasiabi C, et al. High-performance web services for querying gene and variant annotation. Genome Biol. 2016;17(1):91.</w:t>
      </w:r>
    </w:p>
    <w:p>
      <w:r>
        <w:t>20. Erisman MD, Rothberg PG, Diehl RE, Morse CC, Spandorfer JM, Astrin SM. Deregulation of c-myc gene expression in human colon carcinoma is not accompanied by amplification or rearrangement of the gene. Mol Cell Biol. 1985;5(8):1969-1976.</w:t>
      </w:r>
    </w:p>
    <w:p>
      <w:r>
        <w:t>21. Sears R, Nuckolls F, Haura E, Taya Y, Tamai K, Nevins JR. Multiple Ras-dependent phosphorylation pathways regulate Myc protein stability. Genes Dev. 2000;14(19):2501-2514.</w:t>
      </w:r>
    </w:p>
    <w:p>
      <w:r>
        <w:t>22. Morin PJ, Sparks AB, Korinek V, et al. Activation of beta-catenin-Tcf signaling in colon cancer by mutations in beta-catenin or APC. Science. 1997;275(5307):1787-1790.</w:t>
      </w:r>
    </w:p>
    <w:p>
      <w:r>
        <w:t>23. Segditsas S, Tomlinson I. Colorectal cancer and genetic alterations in the Wnt pathway. Oncogene. 2006;25(57):7531-7537.</w:t>
      </w:r>
    </w:p>
    <w:p>
      <w:r>
        <w:t>24. Bartkova J, Lukas J, Strauss M, Bartek J. Cyclin D1 oncoprotein aberrantly accumulates in malignancies of diverse histogenesis. Oncogene. 1995;10(4):775-778.</w:t>
      </w:r>
    </w:p>
    <w:p>
      <w:r>
        <w:t>25. Iacopetta B. TP53 mutation in colorectal cancer. Hum Mutat. 2003;21(3):271-276.</w:t>
      </w:r>
    </w:p>
    <w:p>
      <w:r>
        <w:t>26. Olivier M, Hollstein M, Hainaut P. TP53 mutations in human cancers: origins, consequences, and clinical use. Cold Spring Harb Perspect Biol. 2010;2(1):a001008.</w:t>
      </w:r>
    </w:p>
    <w:p>
      <w:r>
        <w:t>27. Lievre A, Bachet JB, Le Corre D, et al. KRAS mutation status is predictive of response to cetuximab therapy in colorectal cancer. Cancer Res. 2006;66(8):3992-3995.</w:t>
      </w:r>
    </w:p>
    <w:p>
      <w:r>
        <w:t>28. Karapetis CS, Khambata-Ford S, Jonker DJ, et al. K-ras mutations and benefit from cetuximab in advanced colorectal cancer. N Engl J Med. 2008;359(17):1757-1765.</w:t>
      </w:r>
    </w:p>
    <w:p>
      <w:r>
        <w:t>29. Sagnol S, Yang Y, Bessin Y, et al. Homodimerization of RBPMS2 through a new RRM-interaction motif is necessary to control smooth muscle plasticity. Nucleic Acids Res. 2014;42(15):10173-10184.</w:t>
      </w:r>
    </w:p>
    <w:p>
      <w:r>
        <w:t>30. Polo SE, Kaidi A, Baskcomb L, Galanty Y, Jackson SP. Regulation of DNA-damage responses and cell-cycle progression by the chromatin remodelling factor CHD4. EMBO J. 2010;29(18):3130-3139.</w:t>
      </w:r>
    </w:p>
    <w:p>
      <w:r>
        <w:t>31. Larsen DH, Poinsignon C, Gudjonsson T, et al. The chromatin-remodeling factor CHD4 coordinates signaling and repair after DNA damage. J Cell Biol. 2010;190(5):731-740.</w:t>
      </w:r>
    </w:p>
    <w:p>
      <w:r>
        <w:t>32. Smeenk G, Wiegant WW, Vrolijk H, et al. The NuRD chromatin-remodeling complex regulates signaling and repair of DNA damage. J Cell Biol. 2010;190(5):741-749.</w:t>
      </w:r>
    </w:p>
    <w:p>
      <w:r>
        <w:t>33. Strano S, Monti O, Pediconi N, et al. The transcriptional coactivator Yes-associated protein drives p73 gene-target specificity in response to DNA damage. Mol Cell. 2005;18(4):447-459.</w:t>
      </w:r>
    </w:p>
    <w:p>
      <w:r>
        <w:t>34. Levy D, Adamovich Y, Reuven N, Shaul Y. Yap1 phosphorylation by c-Abl is a critical step in selective activation of proapoptotic genes in response to DNA damage. Mol Cell. 2008;29(3):350-361.</w:t>
      </w:r>
    </w:p>
    <w:p>
      <w:r>
        <w:t>35. Shao DD, Xue W, Krall EB, et al. KRAS and YAP1 converge to regulate EMT and tumor survival. Cell. 2014;158(1):171-184.</w:t>
      </w:r>
    </w:p>
    <w:p>
      <w:r>
        <w:t>36. Zhou G, Soufan O, Ewald J, Hancock REW, Basu N, Xia J. NetworkAnalyst 3.0: a visual analytics platform for comprehensive gene expression profiling and meta-analysis. Nucleic Acids Res. 2019;47(W1):W234-W241.</w:t>
      </w:r>
    </w:p>
    <w:p>
      <w:r>
        <w:t>37. Liu A, Trairatphisan P, Gjerga E, et al. From expression footprints to causal pathways: contextualizing large signaling networks with CARNIVAL. NPJ Syst Biol Appl. 2019;5:40.</w:t>
      </w:r>
    </w:p>
    <w:p>
      <w:r>
        <w:t>38. Armingol E, Officer A, Harismendy O, Lewis NE. Deciphering cell-cell interactions and communication from gene expression. Nat Rev Genet. 2021;22(2):71-88.</w:t>
      </w:r>
    </w:p>
    <w:p>
      <w:r>
        <w:t>39. Zanconato F, Cordenonsi M, Piccolo S. YAP and TAZ: a signalling hub of the tumour microenvironment. Nat Rev Cancer. 2019;19(8):454-464.</w:t>
      </w:r>
    </w:p>
    <w:p>
      <w:r>
        <w:t>40. Zhao B, Tumaneng K, Guan KL. The Hippo pathway in organ size control, tissue regeneration and stem cell self-renewal. Nat Cell Biol. 2011;13(8):877-883.</w:t>
      </w:r>
    </w:p>
    <w:p>
      <w:r>
        <w:t>41. Dixit A, Parnas O, Li B, et al. Perturb-Seq: Dissecting molecular circuits with scalable single-cell RNA profiling of pooled genetic screens. Cell. 2016;167(7):1853-1866.e17.</w:t>
      </w:r>
    </w:p>
    <w:p>
      <w:r>
        <w:t>42. Hagberg AA, Schult DA, Swart PJ. Exploring network structure, dynamics, and function using NetworkX. Proceedings of the 7th Python in Science Conference (SciPy 2008); 2008. p. 11-15.</w:t>
      </w:r>
    </w:p>
    <w:p>
      <w:r>
        <w:t>43. Koschützki D, Schreiber F. Centrality analysis methods for biological networks and their application to gene regulatory networks. Gene Regulation and Systems Biology. 2008;2:GRSB.S702.</w:t>
      </w:r>
    </w:p>
    <w:p>
      <w:r>
        <w:t>44. Mora A, Donaldson IM. Effects of protein interaction data integration, representation and reliability on the use of network properties for drug target prediction. BMC Bioinformatics. 2021;22(1):1-29. doi:10.1186/s12859-021-04042-6</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yellow = terminal target, blue = target). TP53 emerges as central hub with 163 targets. (B) Bar chart comparing number of regulators (left) and targets (right) for each gene. (C) Biomarker type classification showing diagnostic, prognostic, and predictive categories.</w:t>
      </w:r>
    </w:p>
    <w:p>
      <w:r>
        <w:rPr>
          <w:b/>
        </w:rP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pPr>
        <w:pStyle w:val="Heading1"/>
      </w:pPr>
      <w:r>
        <w:t>CODE AVAILABILITY</w:t>
      </w:r>
    </w:p>
    <w:p>
      <w:r>
        <w:t>The RegNetAgents software implementation is available from the corresponding author upon reasonable request for academic research purposes. All analytical methods, network centrality algorithms, perturbation analysis procedures, and workflow orchestration logic are fully described in the Methods section to facilitate independent re-implementation by interested researchers.</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r>
        <w:rPr>
          <w:b/>
        </w:rPr>
        <w:t>END OF MANUSCRIPT</w:t>
      </w:r>
    </w:p>
    <w:p>
      <w:r>
        <w:rPr>
          <w:b/>
        </w:rPr>
        <w:t>Manuscript Statistics:</w:t>
      </w:r>
    </w:p>
    <w:p>
      <w:r>
        <w:t>- Words (excluding references): ~8,500</w:t>
      </w:r>
    </w:p>
    <w:p>
      <w:r>
        <w:t>- Figures: 3 main</w:t>
      </w:r>
    </w:p>
    <w:p>
      <w:r>
        <w:t>- Tables: 3 main</w:t>
      </w:r>
    </w:p>
    <w:p>
      <w:r>
        <w:t>- References: 44</w:t>
      </w:r>
    </w:p>
    <w:p>
      <w:r>
        <w:t>- Pages (estimated): 12-15 in typical journal format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