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RegNetAgents: A Multi-Agent AI Framework for Automated Gene Regulatory Network Analysis</w:t>
      </w:r>
    </w:p>
    <w:p>
      <w:r>
        <w:rPr>
          <w:b/>
        </w:rPr>
        <w:t>Running Title:</w:t>
      </w:r>
      <w:r>
        <w:t xml:space="preserve"> Multi-Agent Gene Regulatory Network Analysis</w:t>
      </w:r>
    </w:p>
    <w:p>
      <w:pPr>
        <w:pStyle w:val="Heading1"/>
      </w:pPr>
      <w:r>
        <w:t>Authors</w:t>
      </w:r>
    </w:p>
    <w:p>
      <w:r>
        <w:t>Jose A. Bird, PhD</w:t>
      </w:r>
    </w:p>
    <w:p>
      <w:r>
        <w:t>Founder &amp; Data Science Consultant, Bird AI Solutions</w:t>
      </w:r>
    </w:p>
    <w:p>
      <w:r>
        <w:t>jbird@birdaisolutions.com</w:t>
      </w:r>
    </w:p>
    <w:p>
      <w:pPr>
        <w:pStyle w:val="Heading1"/>
      </w:pPr>
      <w:r>
        <w:t>ABSTRACT</w:t>
      </w:r>
    </w:p>
    <w:p>
      <w:r>
        <w:t>Gene regulatory network analysis is essential for understanding disease mechanisms, identifying biomarkers, and prioritizing therapeutic targets. However, traditional workflows require hours of manual effort across multiple databases and tools, with sequential processing limiting scalability. We present RegNetAgents, an LLM-powered multi-agent framework that streamlines gene regulatory analysis through intelligent workflow orchestration and conversational interfaces. The system integrates network modeling, perturbation simulation, pathway enrichment, and multi-domain interpretation (cancer, drug development, clinical relevance, systems biology) into a unified accessible platform. Leveraging pre-computed ARACNe networks from 500,000+ single cells across 10 cell types (GREmLN team), the framework enables rapid hypothesis generation and experimental prioritization. Four specialized domain agents execute in parallel using local language models to generate scientific insights, with rule-based fallback for reliability. Automated perturbation analysis simulates regulator inhibition and ranks candidate therapeutic targets using network centrality metrics (PageRank, degree centrality). To demonstrate framework capabilities, we analyzed a colorectal cancer biomarker panel (MYC, CTNNB1, CCND1, TP53, KRAS) with complete perturbation analysis (99 regulators) completing in 15-62 seconds depending on mode. TP53 perturbation analysis identified seven candidate regulators including experimentally validated Hippo pathway effectors (WWTR1, YAP1) and novel hypotheses for experimental follow-up. A conversational interface via Model Context Protocol enables natural language queries through Claude Desktop without programming expertise. RegNetAgents transforms multi-hour manual workflows into second-scale automated analysis, making sophisticated network analysis accessible to experimental biologists and providing a reusable framework for diverse biological questions.</w:t>
      </w:r>
    </w:p>
    <w:p>
      <w:r>
        <w:rPr>
          <w:b/>
        </w:rPr>
        <w:t>Keywords:</w:t>
      </w:r>
      <w:r>
        <w:t xml:space="preserve"> gene regulatory networks, multi-agent systems, workflow orchestration, biomarker discovery, therapeutic target identification, network centrality, PageRank, LangGraph, Model Context Protocol</w:t>
      </w:r>
    </w:p>
    <w:p>
      <w:pPr>
        <w:pStyle w:val="Heading1"/>
      </w:pPr>
      <w:r>
        <w:t>INTRODUCTION</w:t>
      </w:r>
    </w:p>
    <w:p>
      <w:pPr>
        <w:pStyle w:val="Heading2"/>
      </w:pPr>
      <w:r>
        <w:t>Background</w:t>
      </w:r>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r>
        <w:t>Traditional gene regulatory analysis requires researchers to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First, the process is time-intensive, requiring multiple hours per gene as researchers navigate different web interfaces, export data, and manually integrate findings across domains. Second, sequential processing limits scalability—analyzing multiple genes or comparing across cell types requires repeating the entire workflow. Third, domain expertise remains siloed, with cancer relevance, drug development potential, clinical actionability, and systems-level effects analyzed separately rather than in an integrated framework. Finally, the lack of conversational interfaces necessitates technical expertise, limiting accessibility to researchers without computational backgrounds.</w:t>
      </w:r>
    </w:p>
    <w:p>
      <w:r>
        <w:t>Recent advances in artificial intelligence and workflow orchestration present opportunities to address these limitations. Multi-agent systems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bridging the accessibility gap for non-computational researchers.</w:t>
      </w:r>
    </w:p>
    <w:p>
      <w:pPr>
        <w:pStyle w:val="Heading2"/>
      </w:pPr>
      <w:r>
        <w:t>Regulatory Network Data Sources</w:t>
      </w:r>
    </w:p>
    <w:p>
      <w:r>
        <w:t>Cell-type-specific regulatory networks were obtained as pre-computed ARACNe networks prepared and released by the GREmLN team (14). GREmLN (Gene Regulatory Embedding-based Large Neural model) is a foundation model that embeds gene regulatory network structure directly within its attention mechanism, trained on 11 million scRNA-seq profiles across 162 cell types. The GREmLN team processed single-cell RNA-seq data from the CELLxGENE Data Portal (15) using the ARACNe (Algorithm for the Reconstruction of Accurate Cellular Networks) algorithm (16,17) and publicly released these pre-computed networks. Our RegNetAgents framework leverages the GREmLN team's pre-computed ARACNe networks as input data for multi-agent analysis; we do not use the GREmLN foundation model itself.</w:t>
      </w:r>
    </w:p>
    <w:p>
      <w:r>
        <w:rPr>
          <w:b/>
        </w:rPr>
        <w:t>ARACNe Network Inference</w:t>
      </w:r>
      <w:r>
        <w:t>: ARACNe-AP (Adaptive Partitioning) uses mutual information to identify direct regulatory interactions while eliminating indirect associations through data processing inequality.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r>
        <w:rPr>
          <w:b/>
        </w:rPr>
        <w:t>Network Processing</w:t>
      </w:r>
      <w:r>
        <w:t>: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Pr>
        <w:pStyle w:val="Heading2"/>
      </w:pPr>
      <w:r>
        <w:t>Our Contribution</w:t>
      </w:r>
    </w:p>
    <w:p>
      <w:r>
        <w:t xml:space="preserve">We present RegNetAgents, a multi-agent AI framework that streamlines gene regulatory network analysis and makes sophisticated computational methods accessible to experimental biologists. The system integrates network analysis, pathway enrichment, perturbation simulation, and multi-domain interpretation into a unified, conversational interface. Key contributions include: (1) </w:t>
      </w:r>
      <w:r>
        <w:rPr>
          <w:b/>
        </w:rPr>
        <w:t>Workflow automation</w:t>
      </w:r>
      <w:r>
        <w:t xml:space="preserve">: parallel multi-agent execution enabling second-scale analysis that replaces multi-hour manual workflows, (2) </w:t>
      </w:r>
      <w:r>
        <w:rPr>
          <w:b/>
        </w:rPr>
        <w:t>Hypothesis generation</w:t>
      </w:r>
      <w:r>
        <w:t xml:space="preserve">: automated perturbation analysis that simulates regulator inhibition to identify and rank candidate therapeutic targets for experimental validation, (3) </w:t>
      </w:r>
      <w:r>
        <w:rPr>
          <w:b/>
        </w:rPr>
        <w:t>Multi-domain integration</w:t>
      </w:r>
      <w:r>
        <w:t xml:space="preserve">: four specialized domain agents providing cancer, drug development, clinical, and systems biology perspectives in a single query, (4) </w:t>
      </w:r>
      <w:r>
        <w:rPr>
          <w:b/>
        </w:rPr>
        <w:t>Accessibility</w:t>
      </w:r>
      <w:r>
        <w:t xml:space="preserve">: natural language interface via Model Context Protocol enabling conversational access without programming expertise, and (5) </w:t>
      </w:r>
      <w:r>
        <w:rPr>
          <w:b/>
        </w:rPr>
        <w:t>Demonstration</w:t>
      </w:r>
      <w:r>
        <w:t>: case study on colorectal cancer biomarkers showing the framework can recapitulate literature-confirmed regulatory relationships and generate testable hypotheses. The framework is designed as a hypothesis generation and experimental prioritization tool, not a replacement for experimental validation.</w:t>
      </w:r>
    </w:p>
    <w:p>
      <w:pPr>
        <w:pStyle w:val="Heading1"/>
      </w:pPr>
      <w:r>
        <w:t>METHODS</w:t>
      </w:r>
    </w:p>
    <w:p>
      <w:pPr>
        <w:pStyle w:val="Heading2"/>
      </w:pPr>
      <w:r>
        <w:t>Architecture Overview</w:t>
      </w:r>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intermediate, terminal target) based on in-degree and out-degree. Genes with more than five upstream regulators trigger automated perturbation analysis.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Pr>
        <w:pStyle w:val="Heading2"/>
      </w:pPr>
      <w:r>
        <w:t>Data Sources and Network Construction</w:t>
      </w:r>
    </w:p>
    <w:p>
      <w:r>
        <w:t>#### 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ARACNe-AP parameters: mutual information estimation via adaptive partitioning, data processing inequality (DPI) tolerance of 1.0 to eliminate indirect edges, p-value threshold of 1e-8 for statistical significance, and 100 bootstrap iterations for edge robustness assessment.</w:t>
      </w:r>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r>
        <w:t>#### Pathway Annotation</w:t>
      </w:r>
    </w:p>
    <w:p>
      <w:r>
        <w:t>Pathway enrichment analysis uses the Reactome Pathway Database (https://reactome.org), a manually curated, peer-reviewed database of human biological pathways (17).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r>
        <w:t>For pathway enrichment, gene lists are constructed from the query gene plus its top 10 upstream regulators and top 10 downstream targets (ranked by network centrality). This focused approach balances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r>
        <w:t>#### Gene Annotation</w:t>
      </w:r>
    </w:p>
    <w:p>
      <w:r>
        <w:t>Gene-level annotations including full names, synonyms, chromosomal locations, and functional descriptions are retrieved from the MyGene.info API (https://mygene.info) (18). This NCBI-backed service provides consistent gene metadata across identifiers.</w:t>
      </w:r>
    </w:p>
    <w:p>
      <w:pPr>
        <w:pStyle w:val="Heading2"/>
      </w:pPr>
      <w:r>
        <w:t>Multi-Agent Workflow</w:t>
      </w:r>
    </w:p>
    <w:p>
      <w:r>
        <w:t>#### Network Analysis Agent</w:t>
      </w:r>
    </w:p>
    <w:p>
      <w:r>
        <w:t>The network modeling agent performs five core functions: (1) gene identifier resolution (symbol to Ensembl ID conversion with synonym matching), (2) network lookup to retrieve all regulatory edges involving the query gene, (3) regulator identification (genes with edges pointing to the query gene), (4) target identification (genes the query gene regulates), and (5) regulatory role classification based on network topology.</w:t>
      </w:r>
    </w:p>
    <w:p>
      <w:r>
        <w:t>Regulatory roles are assigned algorithmically:</w:t>
      </w:r>
    </w:p>
    <w:p>
      <w:r>
        <w:t xml:space="preserve">- </w:t>
      </w:r>
      <w:r>
        <w:rPr>
          <w:b/>
        </w:rPr>
        <w:t>Hub regulator</w:t>
      </w:r>
      <w:r>
        <w:t>: Out-degree ≥ 50 targets (top 10% of network)</w:t>
      </w:r>
    </w:p>
    <w:p>
      <w:r>
        <w:t xml:space="preserve">- </w:t>
      </w:r>
      <w:r>
        <w:rPr>
          <w:b/>
        </w:rPr>
        <w:t>Intermediate regulator</w:t>
      </w:r>
      <w:r>
        <w:t>: 5 ≤ out-degree &lt; 50</w:t>
      </w:r>
    </w:p>
    <w:p>
      <w:r>
        <w:t xml:space="preserve">- </w:t>
      </w:r>
      <w:r>
        <w:rPr>
          <w:b/>
        </w:rPr>
        <w:t>Terminal target</w:t>
      </w:r>
      <w:r>
        <w:t>: Out-degree &lt; 5 and in-degree ≥ 5</w:t>
      </w:r>
    </w:p>
    <w:p>
      <w:r>
        <w:t xml:space="preserve">- </w:t>
      </w:r>
      <w:r>
        <w:rPr>
          <w:b/>
        </w:rPr>
        <w:t>Target</w:t>
      </w:r>
      <w:r>
        <w:t>: Out-degree = 0 or in-degree &gt; out-degree</w:t>
      </w:r>
    </w:p>
    <w:p>
      <w:r>
        <w:t>Network position metrics include in-degree (number of regulators), out-degree (number of targets), and binary classification as regulator or target.</w:t>
      </w:r>
    </w:p>
    <w:p>
      <w:r>
        <w:t>#### Perturbation Analysis Agent</w:t>
      </w:r>
    </w:p>
    <w:p>
      <w:r>
        <w:t>For genes with five or more upstream regulators, we perform automated perturbation analysis to identify potential therapeutic targets. This analysis simulates inhibiting each upstream regulator individually and evaluates therapeutic potential using standard network centrality metrics.</w:t>
      </w:r>
    </w:p>
    <w:p>
      <w:r>
        <w:rPr>
          <w:b/>
        </w:rPr>
        <w:t>Network Centrality Metrics for Therapeutic Target Ranking:</w:t>
      </w:r>
    </w:p>
    <w:p>
      <w:r>
        <w:t>We calculate three core centrality measures for each regulator R using NetworkX (42) implementations:</w:t>
      </w:r>
    </w:p>
    <w:p>
      <w:r>
        <w:rPr>
          <w:b/>
        </w:rPr>
        <w:t>Degree Centrality:</w:t>
      </w:r>
    </w:p>
    <w:p>
      <w:r>
        <w:t>C_D(R) = deg(R) / (N - 1)</w:t>
      </w:r>
    </w:p>
    <w:p>
      <w:r>
        <w:t>Where deg(R) is the total number of connections (in-degree + out-degree) and N is the total number of nodes in the network. Measures overall network connectivity.</w:t>
      </w:r>
    </w:p>
    <w:p>
      <w:r>
        <w:rPr>
          <w:b/>
        </w:rPr>
        <w:t>Out-Degree Centrality (Primary Hub Metric):</w:t>
      </w:r>
    </w:p>
    <w:p>
      <w:r>
        <w:t>C_out(R) = deg_out(R) / (N - 1)</w:t>
      </w:r>
    </w:p>
    <w:p>
      <w:r>
        <w:t>Where deg_out(R) is the number of downstream targets regulated by R. This metric identifies hub regulators with broad downstream effects and estimates potential off-target impacts of therapeutic intervention.</w:t>
      </w:r>
    </w:p>
    <w:p>
      <w:r>
        <w:rPr>
          <w:b/>
        </w:rPr>
        <w:t>PageRank (Primary Ranking Metric):</w:t>
      </w:r>
    </w:p>
    <w:p>
      <w:r>
        <w:t>PR(R) = (1-α)/N + α × Σ[PR(v) / L(v)] for all v in M(R)</w:t>
      </w:r>
    </w:p>
    <w:p>
      <w:r>
        <w:t>Where M(R) is the set of nodes with edges pointing to R, L(v) is the out-degree of node v (number of outbound edges), α = 0.85 is the damping factor, and N is the total number of nodes. For large networks (≥1,000 nodes), PageRank is normalized by dividing by the maximum PageRank value to ensure interpretability. This is Google's algorithm adapted for biological networks, measuring connection quality rather than quantity (43).</w:t>
      </w:r>
    </w:p>
    <w:p>
      <w:r>
        <w:rPr>
          <w:b/>
        </w:rPr>
        <w:t>Ranking and Interpretation:</w:t>
      </w:r>
    </w:p>
    <w:p>
      <w:r>
        <w:t>Regulators are ranked by PageRank (primary), as this metric was identified as the best predictor of successful drug targets in protein interaction networks (44).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(44).</w:t>
      </w:r>
    </w:p>
    <w:p>
      <w:r>
        <w:t>For each regulator, we report:</w:t>
      </w:r>
    </w:p>
    <w:p>
      <w:r>
        <w:t>- Network centrality metrics (PageRank, degree centrality, out-degree centrality)</w:t>
      </w:r>
    </w:p>
    <w:p>
      <w:r>
        <w:t>- Number of downstream targets (off-target effect estimate)</w:t>
      </w:r>
    </w:p>
    <w:p>
      <w:r>
        <w:t>- Cascade overlap count (shared regulatory targets with target gene)</w:t>
      </w:r>
    </w:p>
    <w:p>
      <w:r>
        <w:t>- Top 5 affected cascades (genes regulated by both the inhibited regulator and the target gene)</w:t>
      </w:r>
    </w:p>
    <w:p>
      <w:r>
        <w:rPr>
          <w:b/>
        </w:rPr>
        <w:t>Therapeutic Interpretation:</w:t>
      </w:r>
    </w:p>
    <w:p>
      <w:r>
        <w:t>High PageRank (&gt;0.30) combined with hub regulator status (&gt;200 targets) indicates strong therapeutic potential but requires consideration of potential off-target effects. All regulators of a given target gene contribute equally to direct regulatory input (1/num_regulators), so centrality metrics differentiate therapeutic potential based on network position and influence.</w:t>
      </w:r>
    </w:p>
    <w:p>
      <w:r>
        <w:rPr>
          <w:b/>
        </w:rPr>
        <w:t>Perturbation Analysis Limitations:</w:t>
      </w:r>
    </w:p>
    <w:p>
      <w:r>
        <w:t>Our perturbation analysis makes several simplifying assumptions that warrant consideration:</w:t>
      </w:r>
    </w:p>
    <w:p>
      <w:r>
        <w:t xml:space="preserve">1. </w:t>
      </w:r>
      <w:r>
        <w:rPr>
          <w:b/>
        </w:rPr>
        <w:t>Topology-based ranking</w:t>
      </w:r>
      <w:r>
        <w:t>: Analysis ranks regulators based on network topology (connectivity, cascade overlap) rather than predicting quantitative gene expression changes. This approach identifies regulators for experimental validation but does not model dynamic regulatory responses or predict expression fold-changes.</w:t>
      </w:r>
    </w:p>
    <w:p>
      <w:r>
        <w:t xml:space="preserve">2. </w:t>
      </w:r>
      <w:r>
        <w:rPr>
          <w:b/>
        </w:rPr>
        <w:t>Additive regulatory effects</w:t>
      </w:r>
      <w:r>
        <w:t>: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r>
        <w:t xml:space="preserve">3. </w:t>
      </w:r>
      <w:r>
        <w:rPr>
          <w:b/>
        </w:rPr>
        <w:t>Chromatin context</w:t>
      </w:r>
      <w:r>
        <w: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r>
        <w:t xml:space="preserve">4. </w:t>
      </w:r>
      <w:r>
        <w:rPr>
          <w:b/>
        </w:rPr>
        <w:t>Static network assumption</w:t>
      </w:r>
      <w:r>
        <w:t>: Networks represent time-averaged regulatory relationships and do not capture dynamic rewiring during development, differentiation, or disease progression. Regulator importance may vary across cellular states not represented in the averaged network.</w:t>
      </w:r>
    </w:p>
    <w:p>
      <w:r>
        <w:t>Despite these limitations, topology-based perturbation analysis successfully identifies experimentally validated regulators (as demonstrated with TP53 Hippo pathway effectors) and provides a principled ranking for experimental prioritization. Results should be interpreted as hypotheses for validation, not predictions of molecular outcomes. Experimental validation remains essential to confirm regulatory relationships and quantify expression changes.</w:t>
      </w:r>
    </w:p>
    <w:p>
      <w:r>
        <w:t>#### Pathway Enrichment Agent</w:t>
      </w:r>
    </w:p>
    <w:p>
      <w:r>
        <w:t>The pathway agent constructs a gene set consisting of the query gene, all upstream regulators, and a sample of downstream targets (up to 50 genes to optimize API performance). This gene set is submitted to Reactome's over-representation analysis endpoint, which performs hypergeometric tests against all curated pathways in the database.</w:t>
      </w:r>
    </w:p>
    <w:p>
      <w:r>
        <w:t>Reactome returns enriched pathways ranked by statistical significance, including:</w:t>
      </w:r>
    </w:p>
    <w:p>
      <w:r>
        <w:t>- Pathway ID and name</w:t>
      </w:r>
    </w:p>
    <w:p>
      <w:r>
        <w:t>- P-value (uncorrected)</w:t>
      </w:r>
    </w:p>
    <w:p>
      <w:r>
        <w:t>- False discovery rate (FDR, Benjamini-Hochberg correction)</w:t>
      </w:r>
    </w:p>
    <w:p>
      <w:r>
        <w:t>- Number of query genes in pathway</w:t>
      </w:r>
    </w:p>
    <w:p>
      <w:r>
        <w:t>- Total pathway size</w:t>
      </w:r>
    </w:p>
    <w:p>
      <w:r>
        <w:t>- Species (Homo sapiens)</w:t>
      </w:r>
    </w:p>
    <w:p>
      <w:r>
        <w:t>We report all pathways with FDR &lt; 0.05 as significantly enriched. For queries returning fewer than 3 enriched pathways at FDR &lt; 0.05, we relax to p &lt; 0.05 uncorrected to provide exploratory pathway associations.</w:t>
      </w:r>
    </w:p>
    <w:p>
      <w:r>
        <w:t>#### Domain Analysis Agents</w:t>
      </w:r>
    </w:p>
    <w:p>
      <w:r>
        <w:t xml:space="preserve">Four domain-specific agents execute in parallel, each providing specialized biological interpretation. </w:t>
      </w:r>
      <w:r>
        <w:rPr>
          <w:b/>
        </w:rPr>
        <w:t>Agents are LLM-powered by default</w:t>
      </w:r>
      <w:r>
        <w:t>, using local language model inference (Ollama with llama3.1:8b) to generate scientific insights with rationales. The system implements graceful fallback to rule-based heuristics if LLM is unavailable, ensuring reliability. Each analysis result includes an `llm_powered: true/false` flag for transparency.</w:t>
      </w:r>
    </w:p>
    <w:p>
      <w:r>
        <w:rPr>
          <w:b/>
        </w:rPr>
        <w:t>LLM-Powered Mode (Primary):</w:t>
      </w:r>
    </w:p>
    <w:p>
      <w:r>
        <w:t>Each domain agent receives structured prompts containing:</w:t>
      </w:r>
    </w:p>
    <w:p>
      <w:r>
        <w:t>- Gene regulatory context (role, upstream regulators, downstream targets, PageRank)</w:t>
      </w:r>
    </w:p>
    <w:p>
      <w:r>
        <w:t>- Pathway enrichment results (when available)</w:t>
      </w:r>
    </w:p>
    <w:p>
      <w:r>
        <w:t>- Cross-cell-type expression patterns (for clinical agent)</w:t>
      </w:r>
    </w:p>
    <w:p>
      <w:r>
        <w:t>Agents return JSON-structured insights with:</w:t>
      </w:r>
    </w:p>
    <w:p>
      <w:r>
        <w:t>- Domain-specific classifications (e.g., oncogenic potential, druggability score)</w:t>
      </w:r>
    </w:p>
    <w:p>
      <w:r>
        <w:t>- Scientific rationales explaining each classification</w:t>
      </w:r>
    </w:p>
    <w:p>
      <w:r>
        <w:t>- Quantitative scores normalized to 0-1 scale where applicable</w:t>
      </w:r>
    </w:p>
    <w:p>
      <w:r>
        <w:t>- 1-2 sentence summaries for integration</w:t>
      </w:r>
    </w:p>
    <w:p>
      <w:r>
        <w:t>LLM prompts request specific JSON formats with predefined keys. Response parsing includes validation, missing key detection with placeholder insertion, and score clamping to valid ranges. Retry logic (2 attempts) handles transient failures.</w:t>
      </w:r>
    </w:p>
    <w:p>
      <w:r>
        <w:rPr>
          <w:b/>
        </w:rPr>
        <w:t>Rule-Based Fallback (Reliability):</w:t>
      </w:r>
    </w:p>
    <w:p>
      <w:r>
        <w:t>If LLM is unavailable or fails, agents use fast heuristic algorithms:</w:t>
      </w:r>
    </w:p>
    <w:p>
      <w:r>
        <w:rPr>
          <w:b/>
        </w:rPr>
        <w:t>Cancer Biology Agent:</w:t>
      </w:r>
      <w:r>
        <w:t xml:space="preserve"> Evaluates oncogenic potential based on regulatory role (hub regulators score higher), network centrality (&gt;50 targets = high), tumor suppressor likelihood (terminal targets with &gt;10 regulators = high), biomarker potential (classification as diagnostic, prognostic, or predictive based on regulatory architecture), and therapeutic target score (0-1 scale combining network position and regulatory influence).</w:t>
      </w:r>
    </w:p>
    <w:p>
      <w:r>
        <w:rPr>
          <w:b/>
        </w:rPr>
        <w:t>Drug Development Agent:</w:t>
      </w:r>
      <w:r>
        <w:t xml:space="preserve"> Assesses druggability score based on regulatory role (regulators &gt; targets), protein class (kinases, receptors, enzymes score higher), intervention strategy (hub regulators = inhibition, terminal targets = activation), development complexity (high for hubs due to off-target effects), cascade effects (downstream impact estimation from target counts), clinical trial readiness (based on regulatory role and network accessibility), and estimated development timeline (3-5 years for high druggability, 5-10 years for complex targets).</w:t>
      </w:r>
    </w:p>
    <w:p>
      <w:r>
        <w:rPr>
          <w:b/>
        </w:rPr>
        <w:t>Clinical Relevance Agent:</w:t>
      </w:r>
      <w:r>
        <w:t xml:space="preserve"> Determines disease association likelihood from cross-cell-type expression patterns (broad expression = moderate association), biomarker utility classification (diagnostic for terminal targets with pathway involvement, prognostic for regulators with cancer pathway enrichment, predictive for drug-targetable regulators), clinical actionability (high for genes with clear therapeutic strategies), tissue specificity analysis (number of cell types where gene has regulatory role), and diagnostic potential (terminal targets with high in-degree = moderate to high).</w:t>
      </w:r>
    </w:p>
    <w:p>
      <w:r>
        <w:rPr>
          <w:b/>
        </w:rPr>
        <w:t>Systems Biology Agent:</w:t>
      </w:r>
      <w:r>
        <w:t xml:space="preserve"> Quantifies network centrality (out-degree normalized to maximum in network), regulatory hierarchy (hub/intermediate/terminal classification), information flow (moderate for intermediate nodes connecting hubs and terminals), network vulnerability (critical for hubs, moderate for intermediates, low for terminals), perturbation impact (system-wide for hubs, localized for terminals), and evolutionary conservation (inferred as high for hubs, moderate for intermediates).</w:t>
      </w:r>
    </w:p>
    <w:p>
      <w:r>
        <w:rPr>
          <w:b/>
        </w:rPr>
        <w:t>Performance:</w:t>
      </w:r>
      <w:r>
        <w:t xml:space="preserve"> LLM mode adds ~5 seconds per gene (4 agents × ~1.25s each, sequential) compared to rule-based mode. For 5-gene analysis: ~6 seconds (rule-based) vs ~20 seconds (LLM). Both remain 100-200× faster than manual literature review.</w:t>
      </w:r>
    </w:p>
    <w:p>
      <w:r>
        <w:rPr>
          <w:b/>
        </w:rPr>
        <w:t>LLM Reproducibility:</w:t>
      </w:r>
      <w:r>
        <w:t xml:space="preserve"> LLM-generated outputs exhibit variability across runs due to temperature-based sampling (temperature = 0.7 for llama3.1:8b). Core classifications (oncogenic potential, druggability scores) remain consistent across runs, but specific wording in rationales may vary. For deterministic analysis, rule-based mode provides identical results on repeated execution. JSON structure validation ensures all required fields are present regardless of LLM output variability. For the analyses reported in this manuscript, we used rule-based mode for quantitative results (perturbation rankings, PageRank scores) and LLM mode for qualitative insights (domain-specific rationales). All quantitative metrics are deterministic and fully reproducible.</w:t>
      </w:r>
    </w:p>
    <w:p>
      <w:r>
        <w:t>Domain agents operate independently and can be extended or replaced without affecting other workflow components.</w:t>
      </w:r>
    </w:p>
    <w:p>
      <w:r>
        <w:t>#### Integration and Reporting Agent</w:t>
      </w:r>
    </w:p>
    <w:p>
      <w:r>
        <w:t>The integration agent synthesizes results from all upstream agents into a comprehensive analysis report. Output format is structured JSON containing:</w:t>
      </w:r>
    </w:p>
    <w:p>
      <w:r>
        <w:t>- Gene analysis summary (gene, cell type, regulatory role)</w:t>
      </w:r>
    </w:p>
    <w:p>
      <w:r>
        <w:t>- Network analysis (regulators, targets, network position)</w:t>
      </w:r>
    </w:p>
    <w:p>
      <w:r>
        <w:t>- Perturbation analysis results (if applicable, with ranked therapeutic targets)</w:t>
      </w:r>
    </w:p>
    <w:p>
      <w:r>
        <w:t>- Pathway enrichment (significant pathways with FDR values)</w:t>
      </w:r>
    </w:p>
    <w:p>
      <w:r>
        <w:t>- Cross-cell-type comparison (regulatory role across all 10 cell types)</w:t>
      </w:r>
    </w:p>
    <w:p>
      <w:r>
        <w:t>- Domain-specific insights (cancer, drug, clinical, systems perspectives)</w:t>
      </w:r>
    </w:p>
    <w:p>
      <w:r>
        <w:t>- Key insights summary (aggregated metrics and classifications)</w:t>
      </w:r>
    </w:p>
    <w:p>
      <w:r>
        <w:t>- Workflow metadata (execution time, completed steps)</w:t>
      </w:r>
    </w:p>
    <w:p>
      <w:r>
        <w:t>For multi-gene queries, the integration agent additionally generates comparative analyses and identifies common regulators, shared pathways, and complementary biomarker panels.</w:t>
      </w:r>
    </w:p>
    <w:p>
      <w:pPr>
        <w:pStyle w:val="Heading2"/>
      </w:pPr>
      <w:r>
        <w:t>Model Context Protocol Integration</w:t>
      </w:r>
    </w:p>
    <w:p>
      <w:r>
        <w:t>The RegNetAgents workflow is exposed via a Model Context Protocol (MCP) server, enabling conversational access through Claude Desktop. The MCP server implements eight tools:</w:t>
      </w:r>
    </w:p>
    <w:p>
      <w:r>
        <w:t xml:space="preserve">1. </w:t>
      </w:r>
      <w:r>
        <w:rPr>
          <w:b/>
        </w:rPr>
        <w:t>comprehensive_gene_analysis</w:t>
      </w:r>
      <w:r>
        <w:t>: Full workflow execution (network + regulators + targets + perturbation + pathways + domains)</w:t>
      </w:r>
    </w:p>
    <w:p>
      <w:r>
        <w:t xml:space="preserve">2. </w:t>
      </w:r>
      <w:r>
        <w:rPr>
          <w:b/>
        </w:rPr>
        <w:t>multi_gene_analysis</w:t>
      </w:r>
      <w:r>
        <w:t>: Parallel processing of multiple genes with comparative analysis</w:t>
      </w:r>
    </w:p>
    <w:p>
      <w:r>
        <w:t xml:space="preserve">3. </w:t>
      </w:r>
      <w:r>
        <w:rPr>
          <w:b/>
        </w:rPr>
        <w:t>pathway_focused_analysis</w:t>
      </w:r>
      <w:r>
        <w:t>: Pathway enrichment for user-specified gene lists</w:t>
      </w:r>
    </w:p>
    <w:p>
      <w:r>
        <w:t xml:space="preserve">4. </w:t>
      </w:r>
      <w:r>
        <w:rPr>
          <w:b/>
        </w:rPr>
        <w:t>analyze_regulators</w:t>
      </w:r>
      <w:r>
        <w:t>: Detailed upstream regulator analysis with perturbation</w:t>
      </w:r>
    </w:p>
    <w:p>
      <w:r>
        <w:t xml:space="preserve">5. </w:t>
      </w:r>
      <w:r>
        <w:rPr>
          <w:b/>
        </w:rPr>
        <w:t>analyze_targets</w:t>
      </w:r>
      <w:r>
        <w:t>: Detailed downstream target analysis with cascade effects</w:t>
      </w:r>
    </w:p>
    <w:p>
      <w:r>
        <w:t xml:space="preserve">6. </w:t>
      </w:r>
      <w:r>
        <w:rPr>
          <w:b/>
        </w:rPr>
        <w:t>cross_cell_comparison</w:t>
      </w:r>
      <w:r>
        <w:t>: Regulatory role comparison across all 10 cell types</w:t>
      </w:r>
    </w:p>
    <w:p>
      <w:r>
        <w:t xml:space="preserve">7. </w:t>
      </w:r>
      <w:r>
        <w:rPr>
          <w:b/>
        </w:rPr>
        <w:t>workflow_status</w:t>
      </w:r>
      <w:r>
        <w:t>: Real-time execution monitoring</w:t>
      </w:r>
    </w:p>
    <w:p>
      <w:r>
        <w:t xml:space="preserve">8. </w:t>
      </w:r>
      <w:r>
        <w:rPr>
          <w:b/>
        </w:rPr>
        <w:t>workflow_insights</w:t>
      </w:r>
      <w:r>
        <w:t>: Performance analytics and routing decisions</w:t>
      </w:r>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w:t>
      </w:r>
    </w:p>
    <w:p>
      <w:pPr>
        <w:pStyle w:val="Heading2"/>
      </w:pPr>
      <w:r>
        <w:t>Implementation Details</w:t>
      </w:r>
    </w:p>
    <w:p>
      <w:r>
        <w:t>The system is implemented in Python 3.8+ using LangGraph (v0.1+) for workflow orchestration. 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r>
        <w:t>External API calls (Reactome, MyGene.info) use asynchronous requests with 10-second timeouts and exponential backoff retry logic. Parallel agent execution uses Python's concurrent.futures ThreadPoolExecutor with a maximum of 4 concurrent threads.</w:t>
      </w:r>
    </w:p>
    <w:p>
      <w:pPr>
        <w:pStyle w:val="Heading2"/>
      </w:pPr>
      <w:r>
        <w:t>Performance Benchmarking</w:t>
      </w:r>
    </w:p>
    <w:p>
      <w:r>
        <w:t>We measured end-to-end execution time for three analysis scenarios on a standard laptop (Intel i7, 16GB RAM, Windows 11):</w:t>
      </w:r>
    </w:p>
    <w:p>
      <w:r>
        <w:t xml:space="preserve">1. </w:t>
      </w:r>
      <w:r>
        <w:rPr>
          <w:b/>
        </w:rPr>
        <w:t>Single gene comprehensive analysis</w:t>
      </w:r>
      <w:r>
        <w:t>: TP53 in epithelial cells (all workflow steps)</w:t>
      </w:r>
    </w:p>
    <w:p>
      <w:r>
        <w:t xml:space="preserve">2. </w:t>
      </w:r>
      <w:r>
        <w:rPr>
          <w:b/>
        </w:rPr>
        <w:t>Multi-gene analysis</w:t>
      </w:r>
      <w:r>
        <w:t>: 5 genes (MYC, CTNNB1, CCND1, TP53, KRAS) in epithelial cells</w:t>
      </w:r>
    </w:p>
    <w:p>
      <w:r>
        <w:t xml:space="preserve">3. </w:t>
      </w:r>
      <w:r>
        <w:rPr>
          <w:b/>
        </w:rPr>
        <w:t>Cross-cell-type comparison</w:t>
      </w:r>
      <w:r>
        <w:t>: TP53 across all 10 cell types</w:t>
      </w:r>
    </w:p>
    <w:p>
      <w:r>
        <w:t>Each scenario was executed 10 times with cold starts (server restarted between runs). Execution time includes all workflow steps from query initiation to final JSON output, including Reactome API calls.</w:t>
      </w:r>
    </w:p>
    <w:p>
      <w:pPr>
        <w:pStyle w:val="Heading2"/>
      </w:pPr>
      <w:r>
        <w:t>Data Availability</w:t>
      </w:r>
    </w:p>
    <w:p>
      <w:r>
        <w:t>Regulatory network data were obtained from the GREmLN foundation model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are retrieved from the MyGene.info API (https://mygene.info).</w:t>
      </w:r>
    </w:p>
    <w:p>
      <w:pPr>
        <w:pStyle w:val="Heading1"/>
      </w:pPr>
      <w:r>
        <w:t>RESULTS</w:t>
      </w:r>
    </w:p>
    <w:p>
      <w:pPr>
        <w:pStyle w:val="Heading2"/>
      </w:pPr>
      <w:r>
        <w:t>System Performance</w:t>
      </w:r>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r>
        <w:rPr>
          <w:b/>
        </w:rPr>
        <w:t>Rule-based mode</w:t>
      </w:r>
      <w:r>
        <w:t xml:space="preserve"> provides rapid analysis without LLM dependencies. Single gene comprehensive analysis of TP53 in epithelial cells (network modeling, complete perturbation analysis of all 7 regulators, Reactome pathway enrichment) completed in 0.60 seconds. Multi-gene analysis of 5 genes (MYC, CTNNB1, CCND1, TP53, KRAS) including complete perturbation analysis of all 99 regulators completed in 15.49 seconds with parallel execution.</w:t>
      </w:r>
    </w:p>
    <w:p>
      <w:r>
        <w:rPr>
          <w:b/>
        </w:rPr>
        <w:t>LLM-powered mode</w:t>
      </w:r>
      <w:r>
        <w:t xml:space="preserve"> adds specialized domain analysis with scientific rationales from four parallel agents (cancer biology, drug discovery, clinical relevance, systems biology). Single gene comprehensive analysis with LLM insights averages ~15 seconds (4× slower than rule-based due to local LLM inference).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r>
        <w:t>Performance breakdown: Network lookups from pre-computed indices are near-instantaneous (&lt;1 ms), perturbation analysis of all regulators scales linearly with regulator count, Reactome API calls take 0.3-1.5 seconds per query, and LLM inference adds ~3-4 seconds per domain agent call. PageRank pre-computation in network cache enables instant perturbation analysis. Despite comprehensive regulator analysis and optional LLM insights, execution remains 115-480× faster than manual workflows (estimated 2-8 hours per gene for multi-database analysis with domain integration).</w:t>
      </w:r>
    </w:p>
    <w:p>
      <w:r>
        <w:rPr>
          <w:b/>
        </w:rPr>
        <w:t>Table 1. Performance Benchmarks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Analysis Type</w:t>
            </w:r>
          </w:p>
        </w:tc>
        <w:tc>
          <w:tcPr>
            <w:tcW w:type="dxa" w:w="2160"/>
          </w:tcPr>
          <w:p>
            <w:r>
              <w:rPr>
                <w:b/>
              </w:rPr>
              <w:t>Genes</w:t>
            </w:r>
          </w:p>
        </w:tc>
        <w:tc>
          <w:tcPr>
            <w:tcW w:type="dxa" w:w="2160"/>
          </w:tcPr>
          <w:p>
            <w:r>
              <w:rPr>
                <w:b/>
              </w:rPr>
              <w:t>Execution Time</w:t>
            </w:r>
          </w:p>
        </w:tc>
        <w:tc>
          <w:tcPr>
            <w:tcW w:type="dxa" w:w="2160"/>
          </w:tcPr>
          <w:p>
            <w:r>
              <w:rPr>
                <w:b/>
              </w:rPr>
              <w:t>Components</w:t>
            </w:r>
          </w:p>
        </w:tc>
      </w:tr>
      <w:tr>
        <w:tc>
          <w:tcPr>
            <w:tcW w:type="dxa" w:w="2160"/>
          </w:tcPr>
          <w:p>
            <w:r>
              <w:t>Focused (rule-based)</w:t>
            </w:r>
          </w:p>
        </w:tc>
        <w:tc>
          <w:tcPr>
            <w:tcW w:type="dxa" w:w="2160"/>
          </w:tcPr>
          <w:p>
            <w:r>
              <w:t>TP53</w:t>
            </w:r>
          </w:p>
        </w:tc>
        <w:tc>
          <w:tcPr>
            <w:tcW w:type="dxa" w:w="2160"/>
          </w:tcPr>
          <w:p>
            <w:r>
              <w:t>0.68 sec</w:t>
            </w:r>
          </w:p>
        </w:tc>
        <w:tc>
          <w:tcPr>
            <w:tcW w:type="dxa" w:w="2160"/>
          </w:tcPr>
          <w:p>
            <w:r>
              <w:t>Network lookup, regulators, targets, complete perturbation (all 7 regulators)</w:t>
            </w:r>
          </w:p>
        </w:tc>
      </w:tr>
      <w:tr>
        <w:tc>
          <w:tcPr>
            <w:tcW w:type="dxa" w:w="2160"/>
          </w:tcPr>
          <w:p>
            <w:r>
              <w:t>Comprehensive (rule-based)</w:t>
            </w:r>
          </w:p>
        </w:tc>
        <w:tc>
          <w:tcPr>
            <w:tcW w:type="dxa" w:w="2160"/>
          </w:tcPr>
          <w:p>
            <w:r>
              <w:t>TP53</w:t>
            </w:r>
          </w:p>
        </w:tc>
        <w:tc>
          <w:tcPr>
            <w:tcW w:type="dxa" w:w="2160"/>
          </w:tcPr>
          <w:p>
            <w:r>
              <w:t>0.60 sec</w:t>
            </w:r>
          </w:p>
        </w:tc>
        <w:tc>
          <w:tcPr>
            <w:tcW w:type="dxa" w:w="2160"/>
          </w:tcPr>
          <w:p>
            <w:r>
              <w:t>Network analysis + Reactome pathway enrichment (16 pathways, FDR correction)</w:t>
            </w:r>
          </w:p>
        </w:tc>
      </w:tr>
      <w:tr>
        <w:tc>
          <w:tcPr>
            <w:tcW w:type="dxa" w:w="2160"/>
          </w:tcPr>
          <w:p>
            <w:r>
              <w:t>Comprehensive (LLM-powered)</w:t>
            </w:r>
          </w:p>
        </w:tc>
        <w:tc>
          <w:tcPr>
            <w:tcW w:type="dxa" w:w="2160"/>
          </w:tcPr>
          <w:p>
            <w:r>
              <w:t>TP53</w:t>
            </w:r>
          </w:p>
        </w:tc>
        <w:tc>
          <w:tcPr>
            <w:tcW w:type="dxa" w:w="2160"/>
          </w:tcPr>
          <w:p>
            <w:r>
              <w:t>~15 sec</w:t>
            </w:r>
          </w:p>
        </w:tc>
        <w:tc>
          <w:tcPr>
            <w:tcW w:type="dxa" w:w="2160"/>
          </w:tcPr>
          <w:p>
            <w:r>
              <w:t>Rule-based analysis + 4 domain agents with scientific rationales</w:t>
            </w:r>
          </w:p>
        </w:tc>
      </w:tr>
      <w:tr>
        <w:tc>
          <w:tcPr>
            <w:tcW w:type="dxa" w:w="2160"/>
          </w:tcPr>
          <w:p>
            <w:r>
              <w:t>Multi-gene (rule-based)</w:t>
            </w:r>
          </w:p>
        </w:tc>
        <w:tc>
          <w:tcPr>
            <w:tcW w:type="dxa" w:w="2160"/>
          </w:tcPr>
          <w:p>
            <w:r>
              <w:t>5 genes</w:t>
            </w:r>
          </w:p>
        </w:tc>
        <w:tc>
          <w:tcPr>
            <w:tcW w:type="dxa" w:w="2160"/>
          </w:tcPr>
          <w:p>
            <w:r>
              <w:t>15.49 sec</w:t>
            </w:r>
          </w:p>
        </w:tc>
        <w:tc>
          <w:tcPr>
            <w:tcW w:type="dxa" w:w="2160"/>
          </w:tcPr>
          <w:p>
            <w:r>
              <w:t>Network analysis, complete perturbation (all 99 regulators, parallel execution)</w:t>
            </w:r>
          </w:p>
        </w:tc>
      </w:tr>
      <w:tr>
        <w:tc>
          <w:tcPr>
            <w:tcW w:type="dxa" w:w="2160"/>
          </w:tcPr>
          <w:p>
            <w:r>
              <w:t>Multi-gene (LLM-powered)</w:t>
            </w:r>
          </w:p>
        </w:tc>
        <w:tc>
          <w:tcPr>
            <w:tcW w:type="dxa" w:w="2160"/>
          </w:tcPr>
          <w:p>
            <w:r>
              <w:t>5 genes</w:t>
            </w:r>
          </w:p>
        </w:tc>
        <w:tc>
          <w:tcPr>
            <w:tcW w:type="dxa" w:w="2160"/>
          </w:tcPr>
          <w:p>
            <w:r>
              <w:t>~62 sec</w:t>
            </w:r>
          </w:p>
        </w:tc>
        <w:tc>
          <w:tcPr>
            <w:tcW w:type="dxa" w:w="2160"/>
          </w:tcPr>
          <w:p>
            <w:r>
              <w:t>Rule-based analysis (all 99 regulators) + parallel LLM domain insights</w:t>
            </w:r>
          </w:p>
        </w:tc>
      </w:tr>
      <w:tr>
        <w:tc>
          <w:tcPr>
            <w:tcW w:type="dxa" w:w="2160"/>
          </w:tcPr>
          <w:p>
            <w:r>
              <w:t>Cross-cell comparison</w:t>
            </w:r>
          </w:p>
        </w:tc>
        <w:tc>
          <w:tcPr>
            <w:tcW w:type="dxa" w:w="2160"/>
          </w:tcPr>
          <w:p>
            <w:r>
              <w:t>TP53, 10 types</w:t>
            </w:r>
          </w:p>
        </w:tc>
        <w:tc>
          <w:tcPr>
            <w:tcW w:type="dxa" w:w="2160"/>
          </w:tcPr>
          <w:p>
            <w:r>
              <w:t>&lt;0.01 sec</w:t>
            </w:r>
          </w:p>
        </w:tc>
        <w:tc>
          <w:tcPr>
            <w:tcW w:type="dxa" w:w="216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PageRank pre-computation in network cache enables instant perturbation analysis. All measurements via Claude Desktop MCP integration on standard laptop (Intel i7, 16GB RAM) with stable internet connection and Ollama server running locally.*</w:t>
      </w:r>
    </w:p>
    <w:p>
      <w:pPr>
        <w:pStyle w:val="Heading2"/>
      </w:pPr>
      <w:r>
        <w:t>Demonstration Case Study: Colorectal Cancer Biomarker Analysis</w:t>
      </w:r>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r>
        <w:t>#### Multi-Gene Regulatory Network Analysis</w:t>
      </w:r>
    </w:p>
    <w:p>
      <w:r>
        <w:t>The five-gene panel exhibited distinct regulatory architectures (Table 2, Figure 2). TP53 emerged as a hub regulator with 163 downstream targets and 7 upstream regulators, consistent with its central role in tumor suppression and cellular stress response. MYC and CTNNB1 showed terminal target profiles (427 and 310 targets respectively, 25 and 18 regulators), indicating they are highly regulated effector genes that amplify oncogenic signals. CCND1 and KRAS were classified as targets with no identified downstream regulatory relationships in the epithelial network (0 targets), though CCND1 had 42 upstream regulators while KRAS had 7.</w:t>
      </w:r>
    </w:p>
    <w:p>
      <w:r>
        <w:rPr>
          <w:b/>
        </w:rPr>
        <w:t>Table 2. Colorectal Cancer Biomarker Panel Analysis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Gene</w:t>
            </w:r>
          </w:p>
        </w:tc>
        <w:tc>
          <w:tcPr>
            <w:tcW w:type="dxa" w:w="1440"/>
          </w:tcPr>
          <w:p>
            <w:r>
              <w:rPr>
                <w:b/>
              </w:rPr>
              <w:t>Regulatory Role</w:t>
            </w:r>
          </w:p>
        </w:tc>
        <w:tc>
          <w:tcPr>
            <w:tcW w:type="dxa" w:w="1440"/>
          </w:tcPr>
          <w:p>
            <w:r>
              <w:rPr>
                <w:b/>
              </w:rPr>
              <w:t>Targets</w:t>
            </w:r>
          </w:p>
        </w:tc>
        <w:tc>
          <w:tcPr>
            <w:tcW w:type="dxa" w:w="1440"/>
          </w:tcPr>
          <w:p>
            <w:r>
              <w:rPr>
                <w:b/>
              </w:rPr>
              <w:t>Regulators</w:t>
            </w:r>
          </w:p>
        </w:tc>
        <w:tc>
          <w:tcPr>
            <w:tcW w:type="dxa" w:w="1440"/>
          </w:tcPr>
          <w:p>
            <w:r>
              <w:rPr>
                <w:b/>
              </w:rPr>
              <w:t>Biomarker Type</w:t>
            </w:r>
          </w:p>
        </w:tc>
        <w:tc>
          <w:tcPr>
            <w:tcW w:type="dxa" w:w="1440"/>
          </w:tcPr>
          <w:p>
            <w:r>
              <w:rPr>
                <w:b/>
              </w:rPr>
              <w:t>Top Candidate Regulator (PageRank)</w:t>
            </w:r>
          </w:p>
        </w:tc>
      </w:tr>
      <w:tr>
        <w:tc>
          <w:tcPr>
            <w:tcW w:type="dxa" w:w="1440"/>
          </w:tcPr>
          <w:p>
            <w:r>
              <w:t>MYC</w:t>
            </w:r>
          </w:p>
        </w:tc>
        <w:tc>
          <w:tcPr>
            <w:tcW w:type="dxa" w:w="1440"/>
          </w:tcPr>
          <w:p>
            <w:r>
              <w:t>Terminal Target</w:t>
            </w:r>
          </w:p>
        </w:tc>
        <w:tc>
          <w:tcPr>
            <w:tcW w:type="dxa" w:w="1440"/>
          </w:tcPr>
          <w:p>
            <w:r>
              <w:t>427</w:t>
            </w:r>
          </w:p>
        </w:tc>
        <w:tc>
          <w:tcPr>
            <w:tcW w:type="dxa" w:w="1440"/>
          </w:tcPr>
          <w:p>
            <w:r>
              <w:t>25</w:t>
            </w:r>
          </w:p>
        </w:tc>
        <w:tc>
          <w:tcPr>
            <w:tcW w:type="dxa" w:w="1440"/>
          </w:tcPr>
          <w:p>
            <w:r>
              <w:t>Diagnostic</w:t>
            </w:r>
          </w:p>
        </w:tc>
        <w:tc>
          <w:tcPr>
            <w:tcW w:type="dxa" w:w="1440"/>
          </w:tcPr>
          <w:p>
            <w:r>
              <w:t>ID4 (0.622)</w:t>
            </w:r>
          </w:p>
        </w:tc>
      </w:tr>
      <w:tr>
        <w:tc>
          <w:tcPr>
            <w:tcW w:type="dxa" w:w="1440"/>
          </w:tcPr>
          <w:p>
            <w:r>
              <w:t>CTNNB1</w:t>
            </w:r>
          </w:p>
        </w:tc>
        <w:tc>
          <w:tcPr>
            <w:tcW w:type="dxa" w:w="1440"/>
          </w:tcPr>
          <w:p>
            <w:r>
              <w:t>Terminal Target</w:t>
            </w:r>
          </w:p>
        </w:tc>
        <w:tc>
          <w:tcPr>
            <w:tcW w:type="dxa" w:w="1440"/>
          </w:tcPr>
          <w:p>
            <w:r>
              <w:t>310</w:t>
            </w:r>
          </w:p>
        </w:tc>
        <w:tc>
          <w:tcPr>
            <w:tcW w:type="dxa" w:w="1440"/>
          </w:tcPr>
          <w:p>
            <w:r>
              <w:t>18</w:t>
            </w:r>
          </w:p>
        </w:tc>
        <w:tc>
          <w:tcPr>
            <w:tcW w:type="dxa" w:w="1440"/>
          </w:tcPr>
          <w:p>
            <w:r>
              <w:t>Diagnostic</w:t>
            </w:r>
          </w:p>
        </w:tc>
        <w:tc>
          <w:tcPr>
            <w:tcW w:type="dxa" w:w="1440"/>
          </w:tcPr>
          <w:p>
            <w:r>
              <w:t>CHD2 (0.530)</w:t>
            </w:r>
          </w:p>
        </w:tc>
      </w:tr>
      <w:tr>
        <w:tc>
          <w:tcPr>
            <w:tcW w:type="dxa" w:w="1440"/>
          </w:tcPr>
          <w:p>
            <w:r>
              <w:t>CCND1</w:t>
            </w:r>
          </w:p>
        </w:tc>
        <w:tc>
          <w:tcPr>
            <w:tcW w:type="dxa" w:w="1440"/>
          </w:tcPr>
          <w:p>
            <w:r>
              <w:t>Terminal Target</w:t>
            </w:r>
          </w:p>
        </w:tc>
        <w:tc>
          <w:tcPr>
            <w:tcW w:type="dxa" w:w="1440"/>
          </w:tcPr>
          <w:p>
            <w:r>
              <w:t>0</w:t>
            </w:r>
          </w:p>
        </w:tc>
        <w:tc>
          <w:tcPr>
            <w:tcW w:type="dxa" w:w="1440"/>
          </w:tcPr>
          <w:p>
            <w:r>
              <w:t>42</w:t>
            </w:r>
          </w:p>
        </w:tc>
        <w:tc>
          <w:tcPr>
            <w:tcW w:type="dxa" w:w="1440"/>
          </w:tcPr>
          <w:p>
            <w:r>
              <w:t>Diagnostic</w:t>
            </w:r>
          </w:p>
        </w:tc>
        <w:tc>
          <w:tcPr>
            <w:tcW w:type="dxa" w:w="1440"/>
          </w:tcPr>
          <w:p>
            <w:r>
              <w:t>ZBTB20 (0.600)</w:t>
            </w:r>
          </w:p>
        </w:tc>
      </w:tr>
      <w:tr>
        <w:tc>
          <w:tcPr>
            <w:tcW w:type="dxa" w:w="1440"/>
          </w:tcPr>
          <w:p>
            <w:r>
              <w:t>TP53</w:t>
            </w:r>
          </w:p>
        </w:tc>
        <w:tc>
          <w:tcPr>
            <w:tcW w:type="dxa" w:w="1440"/>
          </w:tcPr>
          <w:p>
            <w:r>
              <w:t>Hub Regulator</w:t>
            </w:r>
          </w:p>
        </w:tc>
        <w:tc>
          <w:tcPr>
            <w:tcW w:type="dxa" w:w="1440"/>
          </w:tcPr>
          <w:p>
            <w:r>
              <w:t>163</w:t>
            </w:r>
          </w:p>
        </w:tc>
        <w:tc>
          <w:tcPr>
            <w:tcW w:type="dxa" w:w="1440"/>
          </w:tcPr>
          <w:p>
            <w:r>
              <w:t>7</w:t>
            </w:r>
          </w:p>
        </w:tc>
        <w:tc>
          <w:tcPr>
            <w:tcW w:type="dxa" w:w="1440"/>
          </w:tcPr>
          <w:p>
            <w:r>
              <w:t>Prognostic</w:t>
            </w:r>
          </w:p>
        </w:tc>
        <w:tc>
          <w:tcPr>
            <w:tcW w:type="dxa" w:w="1440"/>
          </w:tcPr>
          <w:p>
            <w:r>
              <w:t>**WWTR1 (0.473)**</w:t>
            </w:r>
          </w:p>
        </w:tc>
      </w:tr>
      <w:tr>
        <w:tc>
          <w:tcPr>
            <w:tcW w:type="dxa" w:w="1440"/>
          </w:tcPr>
          <w:p>
            <w:r>
              <w:t>KRAS</w:t>
            </w:r>
          </w:p>
        </w:tc>
        <w:tc>
          <w:tcPr>
            <w:tcW w:type="dxa" w:w="1440"/>
          </w:tcPr>
          <w:p>
            <w:r>
              <w:t>Target</w:t>
            </w:r>
          </w:p>
        </w:tc>
        <w:tc>
          <w:tcPr>
            <w:tcW w:type="dxa" w:w="1440"/>
          </w:tcPr>
          <w:p>
            <w:r>
              <w:t>0</w:t>
            </w:r>
          </w:p>
        </w:tc>
        <w:tc>
          <w:tcPr>
            <w:tcW w:type="dxa" w:w="1440"/>
          </w:tcPr>
          <w:p>
            <w:r>
              <w:t>7</w:t>
            </w:r>
          </w:p>
        </w:tc>
        <w:tc>
          <w:tcPr>
            <w:tcW w:type="dxa" w:w="1440"/>
          </w:tcPr>
          <w:p>
            <w:r>
              <w:t>Predictive</w:t>
            </w:r>
          </w:p>
        </w:tc>
        <w:tc>
          <w:tcPr>
            <w:tcW w:type="dxa" w:w="1440"/>
          </w:tcPr>
          <w:p>
            <w:r>
              <w:t>GPBP1 (0.609)</w:t>
            </w:r>
          </w:p>
        </w:tc>
      </w:tr>
    </w:tbl>
    <w:p/>
    <w:p>
      <w:r>
        <w:t>*Perturbation analysis performed for all five genes - all upstream regulators analyzed (25, 18, 42, 7, and 7 regulators respectively, total of 99 regulators). The system simulates inhibiting each upstream regulator and ranks candidate targets using PageRank (primary ranking, best predictor of drug target success per Mora &amp; Donaldson 2021) and out-degree centrality (secondary ranking). Top candidate shown for each gene. These rankings serve as hypotheses for experimental validation. Detailed TP53 perturbation results presented below (Table 3) as representative example with complete rankings of all 7 regulators.*</w:t>
      </w:r>
    </w:p>
    <w:p>
      <w:r>
        <w:t>#### Biomarker Classification and Validation</w:t>
      </w:r>
    </w:p>
    <w:p>
      <w:r>
        <w:t>RegNetAgents automatically classified biomarker types based on regulatory architecture and domain agent analysis:</w:t>
      </w:r>
    </w:p>
    <w:p>
      <w:r>
        <w:rPr>
          <w:b/>
        </w:rPr>
        <w:t>Diagnostic Biomarkers (MYC, CTNNB1, CCND1):</w:t>
      </w:r>
      <w:r>
        <w:t xml:space="preserve"> Terminal targets with high regulatory input and pathway enrichment in proliferation/Wnt signaling pathways. These genes serve as indicators of disease presence, with expression levels reflecting oncogenic pathway activation. Literature validation: MYC amplification occurs in 15-20% of CRCs and correlates with poor prognosis (19,20); CTNNB1 mutations/dysregulation occur in 40-80% of CRCs via APC loss and Wnt activation (21,22); CCND1 overexpression occurs in 30-60% of CRCs and drives G1/S transition (23).</w:t>
      </w:r>
    </w:p>
    <w:p>
      <w:r>
        <w:rPr>
          <w:b/>
        </w:rPr>
        <w:t>Prognostic Biomarker (TP53):</w:t>
      </w:r>
      <w:r>
        <w:t xml:space="preserve"> Hub regulator with high network centrality and enrichment in TP53-regulation pathways. TP53 status predicts patient outcomes and treatment response. Literature validation: TP53 mutations occur in 50-70% of CRCs and associate with advanced stage, metastasis, and poor survival (24,25).</w:t>
      </w:r>
    </w:p>
    <w:p>
      <w:r>
        <w:rPr>
          <w:b/>
        </w:rPr>
        <w:t>Predictive Biomarker (KRAS):</w:t>
      </w:r>
      <w:r>
        <w:t xml:space="preserve"> Target gene with moderate clinical actionability. KRAS status predicts response to specific therapies (anti-EGFR antibodies). Literature validation: KRAS mutations occur in 40-45% of CRCs and confer resistance to cetuximab/panitumumab (26,27).</w:t>
      </w:r>
    </w:p>
    <w:p>
      <w:r>
        <w:t>All five classifications aligned with published CRC biomarker literature, demonstrating 100% concordance with established clinical and research findings. Network analysis revealed distinct regulatory architectures: TP53 functions as a hub regulator (163 targets, 7 regulators), MYC and CTNNB1 show extensive downstream connectivity (427 and 310 targets respectively), while CCND1 and KRAS have minimal downstream regulation but multiple upstream inputs. These connectivity patterns align with known biological roles - TP53 as a central tumor suppressor, MYC and CTNNB1 as oncogenic effectors, and KRAS as a predictive biomarker for therapy selection.</w:t>
      </w:r>
    </w:p>
    <w:p>
      <w:pPr>
        <w:pStyle w:val="Heading2"/>
      </w:pPr>
      <w:r>
        <w:t>Perturbation Analysis: TP53 Candidate Regulator Prioritization</w:t>
      </w:r>
    </w:p>
    <w:p>
      <w:r>
        <w:t>To illustrate framework capabilities for hypothesis generation, we performed automated perturbation analysis on TP53, which has 7 upstream regulators in epithelial cells. The analysis simulates inhibiting each regulator individually and ranks candidates using network centrality metrics (Table 3, Figure 3). These rankings serve as hypotheses for experimental validation, not predictions of therapeutic efficacy.</w:t>
      </w:r>
    </w:p>
    <w:p>
      <w:r>
        <w:rPr>
          <w:b/>
        </w:rPr>
        <w:t>Table 3. TP53 Perturbation Analysis Results (Ranked by PageRank)</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Rank</w:t>
            </w:r>
          </w:p>
        </w:tc>
        <w:tc>
          <w:tcPr>
            <w:tcW w:type="dxa" w:w="1440"/>
          </w:tcPr>
          <w:p>
            <w:r>
              <w:rPr>
                <w:b/>
              </w:rPr>
              <w:t>Regulator</w:t>
            </w:r>
          </w:p>
        </w:tc>
        <w:tc>
          <w:tcPr>
            <w:tcW w:type="dxa" w:w="1440"/>
          </w:tcPr>
          <w:p>
            <w:r>
              <w:rPr>
                <w:b/>
              </w:rPr>
              <w:t>PageRank</w:t>
            </w:r>
          </w:p>
        </w:tc>
        <w:tc>
          <w:tcPr>
            <w:tcW w:type="dxa" w:w="1440"/>
          </w:tcPr>
          <w:p>
            <w:r>
              <w:rPr>
                <w:b/>
              </w:rPr>
              <w:t>Out-Degree Centrality</w:t>
            </w:r>
          </w:p>
        </w:tc>
        <w:tc>
          <w:tcPr>
            <w:tcW w:type="dxa" w:w="1440"/>
          </w:tcPr>
          <w:p>
            <w:r>
              <w:rPr>
                <w:b/>
              </w:rPr>
              <w:t>Downstream Targets</w:t>
            </w:r>
          </w:p>
        </w:tc>
        <w:tc>
          <w:tcPr>
            <w:tcW w:type="dxa" w:w="1440"/>
          </w:tcPr>
          <w:p>
            <w:r>
              <w:rPr>
                <w:b/>
              </w:rPr>
              <w:t>Validation Status</w:t>
            </w:r>
          </w:p>
        </w:tc>
      </w:tr>
      <w:tr>
        <w:tc>
          <w:tcPr>
            <w:tcW w:type="dxa" w:w="1440"/>
          </w:tcPr>
          <w:p>
            <w:r>
              <w:t>1</w:t>
            </w:r>
          </w:p>
        </w:tc>
        <w:tc>
          <w:tcPr>
            <w:tcW w:type="dxa" w:w="1440"/>
          </w:tcPr>
          <w:p>
            <w:r>
              <w:t>WWTR1</w:t>
            </w:r>
          </w:p>
        </w:tc>
        <w:tc>
          <w:tcPr>
            <w:tcW w:type="dxa" w:w="1440"/>
          </w:tcPr>
          <w:p>
            <w:r>
              <w:t>0.473</w:t>
            </w:r>
          </w:p>
        </w:tc>
        <w:tc>
          <w:tcPr>
            <w:tcW w:type="dxa" w:w="1440"/>
          </w:tcPr>
          <w:p>
            <w:r>
              <w:t>0.020</w:t>
            </w:r>
          </w:p>
        </w:tc>
        <w:tc>
          <w:tcPr>
            <w:tcW w:type="dxa" w:w="1440"/>
          </w:tcPr>
          <w:p>
            <w:r>
              <w:t>293</w:t>
            </w:r>
          </w:p>
        </w:tc>
        <w:tc>
          <w:tcPr>
            <w:tcW w:type="dxa" w:w="1440"/>
          </w:tcPr>
          <w:p>
            <w:r>
              <w:t>[check] Validated</w:t>
            </w:r>
          </w:p>
        </w:tc>
      </w:tr>
      <w:tr>
        <w:tc>
          <w:tcPr>
            <w:tcW w:type="dxa" w:w="1440"/>
          </w:tcPr>
          <w:p>
            <w:r>
              <w:t>2</w:t>
            </w:r>
          </w:p>
        </w:tc>
        <w:tc>
          <w:tcPr>
            <w:tcW w:type="dxa" w:w="1440"/>
          </w:tcPr>
          <w:p>
            <w:r>
              <w:t>RBPMS</w:t>
            </w:r>
          </w:p>
        </w:tc>
        <w:tc>
          <w:tcPr>
            <w:tcW w:type="dxa" w:w="1440"/>
          </w:tcPr>
          <w:p>
            <w:r>
              <w:t>0.469</w:t>
            </w:r>
          </w:p>
        </w:tc>
        <w:tc>
          <w:tcPr>
            <w:tcW w:type="dxa" w:w="1440"/>
          </w:tcPr>
          <w:p>
            <w:r>
              <w:t>0.028</w:t>
            </w:r>
          </w:p>
        </w:tc>
        <w:tc>
          <w:tcPr>
            <w:tcW w:type="dxa" w:w="1440"/>
          </w:tcPr>
          <w:p>
            <w:r>
              <w:t>403</w:t>
            </w:r>
          </w:p>
        </w:tc>
        <w:tc>
          <w:tcPr>
            <w:tcW w:type="dxa" w:w="1440"/>
          </w:tcPr>
          <w:p>
            <w:r>
              <w:t>Novel</w:t>
            </w:r>
          </w:p>
        </w:tc>
      </w:tr>
      <w:tr>
        <w:tc>
          <w:tcPr>
            <w:tcW w:type="dxa" w:w="1440"/>
          </w:tcPr>
          <w:p>
            <w:r>
              <w:t>3</w:t>
            </w:r>
          </w:p>
        </w:tc>
        <w:tc>
          <w:tcPr>
            <w:tcW w:type="dxa" w:w="1440"/>
          </w:tcPr>
          <w:p>
            <w:r>
              <w:t>PRRX2</w:t>
            </w:r>
          </w:p>
        </w:tc>
        <w:tc>
          <w:tcPr>
            <w:tcW w:type="dxa" w:w="1440"/>
          </w:tcPr>
          <w:p>
            <w:r>
              <w:t>0.454</w:t>
            </w:r>
          </w:p>
        </w:tc>
        <w:tc>
          <w:tcPr>
            <w:tcW w:type="dxa" w:w="1440"/>
          </w:tcPr>
          <w:p>
            <w:r>
              <w:t>0.006</w:t>
            </w:r>
          </w:p>
        </w:tc>
        <w:tc>
          <w:tcPr>
            <w:tcW w:type="dxa" w:w="1440"/>
          </w:tcPr>
          <w:p>
            <w:r>
              <w:t>93</w:t>
            </w:r>
          </w:p>
        </w:tc>
        <w:tc>
          <w:tcPr>
            <w:tcW w:type="dxa" w:w="1440"/>
          </w:tcPr>
          <w:p>
            <w:r>
              <w:t>Novel</w:t>
            </w:r>
          </w:p>
        </w:tc>
      </w:tr>
      <w:tr>
        <w:tc>
          <w:tcPr>
            <w:tcW w:type="dxa" w:w="1440"/>
          </w:tcPr>
          <w:p>
            <w:r>
              <w:t>4</w:t>
            </w:r>
          </w:p>
        </w:tc>
        <w:tc>
          <w:tcPr>
            <w:tcW w:type="dxa" w:w="1440"/>
          </w:tcPr>
          <w:p>
            <w:r>
              <w:t>CHD4</w:t>
            </w:r>
          </w:p>
        </w:tc>
        <w:tc>
          <w:tcPr>
            <w:tcW w:type="dxa" w:w="1440"/>
          </w:tcPr>
          <w:p>
            <w:r>
              <w:t>0.443</w:t>
            </w:r>
          </w:p>
        </w:tc>
        <w:tc>
          <w:tcPr>
            <w:tcW w:type="dxa" w:w="1440"/>
          </w:tcPr>
          <w:p>
            <w:r>
              <w:t>0.017</w:t>
            </w:r>
          </w:p>
        </w:tc>
        <w:tc>
          <w:tcPr>
            <w:tcW w:type="dxa" w:w="1440"/>
          </w:tcPr>
          <w:p>
            <w:r>
              <w:t>243</w:t>
            </w:r>
          </w:p>
        </w:tc>
        <w:tc>
          <w:tcPr>
            <w:tcW w:type="dxa" w:w="1440"/>
          </w:tcPr>
          <w:p>
            <w:r>
              <w:t>[check] Validated</w:t>
            </w:r>
          </w:p>
        </w:tc>
      </w:tr>
      <w:tr>
        <w:tc>
          <w:tcPr>
            <w:tcW w:type="dxa" w:w="1440"/>
          </w:tcPr>
          <w:p>
            <w:r>
              <w:t>5</w:t>
            </w:r>
          </w:p>
        </w:tc>
        <w:tc>
          <w:tcPr>
            <w:tcW w:type="dxa" w:w="1440"/>
          </w:tcPr>
          <w:p>
            <w:r>
              <w:t>THRA</w:t>
            </w:r>
          </w:p>
        </w:tc>
        <w:tc>
          <w:tcPr>
            <w:tcW w:type="dxa" w:w="1440"/>
          </w:tcPr>
          <w:p>
            <w:r>
              <w:t>0.408</w:t>
            </w:r>
          </w:p>
        </w:tc>
        <w:tc>
          <w:tcPr>
            <w:tcW w:type="dxa" w:w="1440"/>
          </w:tcPr>
          <w:p>
            <w:r>
              <w:t>0.006</w:t>
            </w:r>
          </w:p>
        </w:tc>
        <w:tc>
          <w:tcPr>
            <w:tcW w:type="dxa" w:w="1440"/>
          </w:tcPr>
          <w:p>
            <w:r>
              <w:t>81</w:t>
            </w:r>
          </w:p>
        </w:tc>
        <w:tc>
          <w:tcPr>
            <w:tcW w:type="dxa" w:w="1440"/>
          </w:tcPr>
          <w:p>
            <w:r>
              <w:t>Novel</w:t>
            </w:r>
          </w:p>
        </w:tc>
      </w:tr>
      <w:tr>
        <w:tc>
          <w:tcPr>
            <w:tcW w:type="dxa" w:w="1440"/>
          </w:tcPr>
          <w:p>
            <w:r>
              <w:t>6</w:t>
            </w:r>
          </w:p>
        </w:tc>
        <w:tc>
          <w:tcPr>
            <w:tcW w:type="dxa" w:w="1440"/>
          </w:tcPr>
          <w:p>
            <w:r>
              <w:t>YAP1</w:t>
            </w:r>
          </w:p>
        </w:tc>
        <w:tc>
          <w:tcPr>
            <w:tcW w:type="dxa" w:w="1440"/>
          </w:tcPr>
          <w:p>
            <w:r>
              <w:t>0.402</w:t>
            </w:r>
          </w:p>
        </w:tc>
        <w:tc>
          <w:tcPr>
            <w:tcW w:type="dxa" w:w="1440"/>
          </w:tcPr>
          <w:p>
            <w:r>
              <w:t>0.014</w:t>
            </w:r>
          </w:p>
        </w:tc>
        <w:tc>
          <w:tcPr>
            <w:tcW w:type="dxa" w:w="1440"/>
          </w:tcPr>
          <w:p>
            <w:r>
              <w:t>207</w:t>
            </w:r>
          </w:p>
        </w:tc>
        <w:tc>
          <w:tcPr>
            <w:tcW w:type="dxa" w:w="1440"/>
          </w:tcPr>
          <w:p>
            <w:r>
              <w:t>[check] Validated</w:t>
            </w:r>
          </w:p>
        </w:tc>
      </w:tr>
      <w:tr>
        <w:tc>
          <w:tcPr>
            <w:tcW w:type="dxa" w:w="1440"/>
          </w:tcPr>
          <w:p>
            <w:r>
              <w:t>7</w:t>
            </w:r>
          </w:p>
        </w:tc>
        <w:tc>
          <w:tcPr>
            <w:tcW w:type="dxa" w:w="1440"/>
          </w:tcPr>
          <w:p>
            <w:r>
              <w:t>IKZF2</w:t>
            </w:r>
          </w:p>
        </w:tc>
        <w:tc>
          <w:tcPr>
            <w:tcW w:type="dxa" w:w="1440"/>
          </w:tcPr>
          <w:p>
            <w:r>
              <w:t>0.399</w:t>
            </w:r>
          </w:p>
        </w:tc>
        <w:tc>
          <w:tcPr>
            <w:tcW w:type="dxa" w:w="1440"/>
          </w:tcPr>
          <w:p>
            <w:r>
              <w:t>0.008</w:t>
            </w:r>
          </w:p>
        </w:tc>
        <w:tc>
          <w:tcPr>
            <w:tcW w:type="dxa" w:w="1440"/>
          </w:tcPr>
          <w:p>
            <w:r>
              <w:t>112</w:t>
            </w:r>
          </w:p>
        </w:tc>
        <w:tc>
          <w:tcPr>
            <w:tcW w:type="dxa" w:w="1440"/>
          </w:tcPr>
          <w:p>
            <w:r>
              <w:t>Novel</w:t>
            </w:r>
          </w:p>
        </w:tc>
      </w:tr>
    </w:tbl>
    <w:p/>
    <w:p>
      <w:r>
        <w:t>*Regulators ranked by PageRank, a metric associated with drug target success per Mora &amp; Donaldson (2021). PageRank scores &gt;0.30 suggest high-quality network connections. Out-degree centrality measures downstream regulatory influence (hub identification). All 7 regulators contribute equally to TP53 direct regulation (14.3% each = 1/7 regulators). Validation status indicates whether literature supports TP53 regulatory relationships—serving to demonstrate that topology-based ranking can recapitulate known biology and generate testable hypotheses.*</w:t>
      </w:r>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r>
        <w:t>#### Literature Comparison for Top-Ranked Candidates</w:t>
      </w:r>
    </w:p>
    <w:p>
      <w:r>
        <w:t>We compared the top 3 network-ranked candidates (by PageRank) against published literature to assess whether topology-based ranking recapitulates known biology:</w:t>
      </w:r>
    </w:p>
    <w:p>
      <w:r>
        <w:rPr>
          <w:b/>
        </w:rPr>
        <w:t>WWTR1 (TAZ):</w:t>
      </w:r>
      <w:r>
        <w:t xml:space="preserve"> WW domain-containing transcription regulator 1, also known as TAZ, is a Hippo pathway effector. Literature confirms WWTR1/TAZ interacts with TP53 and modulates its transcriptional activity, particularly in cancer contexts (28). WWTR1 regulates TP53 stability and localization, influencing cell fate decisions between proliferation and apoptosis (29). The high PageRank ranking correctly identifies WWTR1 as a central network node consistent with its known role as a signaling hub.</w:t>
      </w:r>
    </w:p>
    <w:p>
      <w:r>
        <w:rPr>
          <w:b/>
        </w:rPr>
        <w:t>RBPMS:</w:t>
      </w:r>
      <w:r>
        <w:t xml:space="preserve"> RNA-binding protein with multiple splicing, implicated in epithelial-mesenchymal transition (EMT) and cancer progression (30). While RBPMS shows the highest degree centrality (most connections), limited direct TP53 regulation literature exists. This represents a testable hypothesis prioritized by network topology for experimental follow-up.</w:t>
      </w:r>
    </w:p>
    <w:p>
      <w:r>
        <w:rPr>
          <w:b/>
        </w:rPr>
        <w:t>PRRX2:</w:t>
      </w:r>
      <w:r>
        <w:t xml:space="preserve"> Paired-related homeobox 2, a transcription factor involved in EMT and mesenchymal stem cell regulation (31). PRRX2's high PageRank despite moderate degree centrality reflects quality over quantity in network connections. Direct TP53 regulation by PRRX2 represents another hypothesis prioritized by network topology requiring experimental validation.</w:t>
      </w:r>
    </w:p>
    <w:p>
      <w:r>
        <w:t>This comparison demonstrates that topology-based ranking can: (1) recapitulate experimentally validated regulators (WWTR1/CHD4/YAP1 from Hippo pathway), and (2) generate testable hypotheses (RBPMS, PRRX2) for experimental follow-up. The framework serves as a hypothesis generation tool to prioritize candidates for experimental validation.</w:t>
      </w:r>
    </w:p>
    <w:p>
      <w:pPr>
        <w:pStyle w:val="Heading2"/>
      </w:pPr>
      <w:r>
        <w:t>Cross-Cell-Type Regulatory Analysis</w:t>
      </w:r>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r>
        <w:rPr>
          <w:b/>
        </w:rPr>
        <w:t>Why is TP53 absent from immune cell networks?</w:t>
      </w:r>
      <w:r>
        <w:t xml:space="preserve"> This observation likely reflects two complementary mechanisms:</w:t>
      </w:r>
    </w:p>
    <w:p>
      <w:r>
        <w:t xml:space="preserve">1. </w:t>
      </w:r>
      <w:r>
        <w:rPr>
          <w:b/>
        </w:rPr>
        <w:t>Low expression variability</w:t>
      </w:r>
      <w:r>
        <w:t>: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r>
        <w:t xml:space="preserve">2. </w:t>
      </w:r>
      <w:r>
        <w:rPr>
          <w:b/>
        </w:rPr>
        <w:t>Alternative stress response pathways</w:t>
      </w:r>
      <w:r>
        <w:t>: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r>
        <w:t>This cell-type specificity aligns with biological expectations: epithelial tissues experience high oncogenic stress (environmental exposures, high proliferation rates, barrier function) necessitating robust TP53 tumor suppressor networks for genomic surveillance and cell fate decisions. In contrast, differentiated immune cells operate under different selective pressures—antigen response, immune homeostasis, and inflammatory regulation—where TP53's canonical tumor suppressor role is less central to cellular function. The presence of TP53 regulatory activity in erythrocytes (precursor cells undergoing differentiation and DNA damage from oxidative stress) and NKT cells (semi-activated state) supports this interpretation, as these represent intermediate functional states between proliferative and fully differentiated cells.</w:t>
      </w:r>
    </w:p>
    <w:p>
      <w:r>
        <w:t>These findings demonstrate how cross-cell-type analysis reveals tissue-specific regulatory mechanisms critical for understanding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w:t>
      </w:r>
    </w:p>
    <w:p>
      <w:pPr>
        <w:pStyle w:val="Heading2"/>
      </w:pPr>
      <w:r>
        <w:t>Pathway Enrichment Analysis</w:t>
      </w:r>
    </w:p>
    <w:p>
      <w:r>
        <w:t>Reactome pathway enrichment for the TP53 regulatory network (TP53 + 7 regulators + top 10 targets) identified 16 statistically significant enriched pathways (FDR &lt; 0.05, Table S1). Top pathways included:</w:t>
      </w:r>
    </w:p>
    <w:p>
      <w:r>
        <w:t xml:space="preserve">1. </w:t>
      </w:r>
      <w:r>
        <w:rPr>
          <w:b/>
        </w:rPr>
        <w:t>Regulation of TP53 Expression</w:t>
      </w:r>
      <w:r>
        <w:t xml:space="preserve"> (FDR = 0.0033, 2/4 genes)</w:t>
      </w:r>
    </w:p>
    <w:p>
      <w:r>
        <w:t xml:space="preserve">2. </w:t>
      </w:r>
      <w:r>
        <w:rPr>
          <w:b/>
        </w:rPr>
        <w:t>RUNX3 regulates YAP1-mediated transcription</w:t>
      </w:r>
      <w:r>
        <w:t xml:space="preserve"> (FDR = 0.0084, 2/9 genes)</w:t>
      </w:r>
    </w:p>
    <w:p>
      <w:r>
        <w:t xml:space="preserve">3. </w:t>
      </w:r>
      <w:r>
        <w:rPr>
          <w:b/>
        </w:rPr>
        <w:t>YAP1- and WWTR1 (TAZ)-stimulated gene expression</w:t>
      </w:r>
      <w:r>
        <w:t xml:space="preserve"> (FDR = 0.020, 2/18 genes)</w:t>
      </w:r>
    </w:p>
    <w:p>
      <w:r>
        <w:t xml:space="preserve">4. </w:t>
      </w:r>
      <w:r>
        <w:rPr>
          <w:b/>
        </w:rPr>
        <w:t>Transcriptional regulation by RUNX3</w:t>
      </w:r>
      <w:r>
        <w:t xml:space="preserve"> (FDR = 0.020, 3/108 genes)</w:t>
      </w:r>
    </w:p>
    <w:p>
      <w:r>
        <w:t xml:space="preserve">5. </w:t>
      </w:r>
      <w:r>
        <w:rPr>
          <w:b/>
        </w:rPr>
        <w:t>Signaling by Hippo</w:t>
      </w:r>
      <w:r>
        <w:t xml:space="preserve"> (FDR = 0.020, 2/22 genes)</w:t>
      </w:r>
    </w:p>
    <w:p>
      <w:r>
        <w:t>The enrichment of Hippo signaling pathways (YAP1/WWTR1-mediated transcription) directly validates perturbation analysis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Pr>
        <w:pStyle w:val="Heading1"/>
      </w:pPr>
      <w:r>
        <w:t>DISCUSSION</w:t>
      </w:r>
    </w:p>
    <w:p>
      <w:pPr>
        <w:pStyle w:val="Heading2"/>
      </w:pPr>
      <w:r>
        <w:t>Principal Findings</w:t>
      </w:r>
    </w:p>
    <w:p>
      <w:r>
        <w:t xml:space="preserve">We developed RegNetAgents, a multi-agent AI framework that streamlines gene regulatory network analysis and makes sophisticated computational methods accessible to experimental biologists. The system integrates network modeling, automated perturbation simulation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Perturbation analysis of TP53 correctly ranked experimentally validated Hippo pathway regulators (WWTR1, CHD4, YAP1) alongside novel hypotheses (RBPMS, PRRX2), demonstrating utility for hypothesis generation. Performance benchmarks show 115-480× speedup compared to manual multi-database workflows, with complete network analysis completing in 15.49 seconds for 5 genes (rule-based mode) or ~62 seconds (LLM-powered mode with domain agent insights)—dramatically faster than multi-hour manual alternatives. </w:t>
      </w:r>
      <w:r>
        <w:rPr>
          <w:b/>
        </w:rPr>
        <w:t>The framework is designed as a hypothesis generation and experimental prioritization tool, not a replacement for experimental validation or expert biological interpretation.</w:t>
      </w:r>
    </w:p>
    <w:p>
      <w:pPr>
        <w:pStyle w:val="Heading2"/>
      </w:pPr>
      <w:r>
        <w:t>Comparison to Existing Approaches</w:t>
      </w:r>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(35), while CARNIVAL infers causal networks from perturbation data (36). However, these tools lack conversational interfaces, require programming expertise, and do not provide automated therapeutic target prioritization via perturbation analysis.</w:t>
      </w:r>
    </w:p>
    <w:p>
      <w:r>
        <w:t>RegNetAgents advances the field through four key innovations:</w:t>
      </w:r>
    </w:p>
    <w:p>
      <w:r>
        <w:rPr>
          <w:b/>
        </w:rPr>
        <w:t>1. Multi-Agent Parallelization:</w:t>
      </w:r>
      <w:r>
        <w:t xml:space="preserve"> Four domain-specific agents (cancer, drug, clinical, systems) execute simultaneously, providing integrated biological perspectives in a single query. This contrasts with sequential manual workflows where researchers must separately consider each domain.</w:t>
      </w:r>
    </w:p>
    <w:p>
      <w:r>
        <w:rPr>
          <w:b/>
        </w:rPr>
        <w:t>2. Automated Perturbation Analysis:</w:t>
      </w:r>
      <w:r>
        <w:t xml:space="preserve"> Network topology-based simulation identifies therapeutic targets by quantifying regulatory impact of inhibiting upstream regulators. While gene expression prediction tools exist (e.g., cell2cell for cell-cell communication modeling (37)), our approach prioritizes regulators for experimental validation based on network architecture rather than attempting to predict expression changes, which require dynamic models and experimental perturbation data currently unavailable at single-cell resolution across cell types.</w:t>
      </w:r>
    </w:p>
    <w:p>
      <w:r>
        <w:rPr>
          <w:b/>
        </w:rPr>
        <w:t>3. Conversational Interface:</w:t>
      </w:r>
      <w:r>
        <w:t xml:space="preserv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r>
        <w:rPr>
          <w:b/>
        </w:rPr>
        <w:t>4. Pre-Computed Cell-Type Networks:</w:t>
      </w:r>
      <w:r>
        <w:t xml:space="preserve"> Leveraging pre-computed ARACNe networks for 10 cell types (prepared by the GREmLN team) enables instant cross-cell-type comparisons, revealing tissue-specific regulatory mechanisms critical for understanding disease susceptibility and therapeutic responses.</w:t>
      </w:r>
    </w:p>
    <w:p>
      <w:pPr>
        <w:pStyle w:val="Heading2"/>
      </w:pPr>
      <w:r>
        <w:t>Biological Insights from Case Studies</w:t>
      </w:r>
    </w:p>
    <w:p>
      <w:r>
        <w:t>The colorectal cancer biomarker analysis revealed regulatory architecture patterns that align with oncogenic mechanisms. Terminal targets (MYC, CTNNB1, CCND1) represent downstream effectors with high regulatory input, suggesting they integrate multiple oncogenic signals—consistent with their role as diagnostic biomarkers reflecting pathway activation states. In contrast, the hub regulator TP53 controls many downstream targets while receiving input from few regulators, consistent with its role as a master regulatory switch governing cell fate decisions (apoptosis vs. survival). This regulatory architecture difference has therapeutic implications: targeting terminal targets (MYC, CTNNB1) may be more specific but require inhibiting their regulatory inputs, while targeting hub regulators (TP53) offers broader impact but with potential off-target effects due to many downstream targets.</w:t>
      </w:r>
    </w:p>
    <w:p>
      <w:r>
        <w:t>The TP53 perturbation analysis highlights the therapeutic challenge of restoring TP53 function in cancer: with 7 upstream regulators each contributing ~14% of regulatory input, no single regulator dominates. This distributed regulatory architecture suggests combinatorial therapeutic strategies may be necessary, targeting multiple regulators simultaneously to substantially restore TP53 activity. The identification of YAP1/WWTR1 (Hippo pathway effectors) as top regulators is particularly intriguing given recent interest in Hippo pathway-targeted cancer therapies (38,39). Our network-based approach independently identified these regulators, suggesting perturbation analysis can recapitulate and extend experimentally derived therapeutic hypotheses.</w:t>
      </w:r>
    </w:p>
    <w:p>
      <w:pPr>
        <w:pStyle w:val="Heading2"/>
      </w:pPr>
      <w:r>
        <w:t>Limitations and Considerations</w:t>
      </w:r>
    </w:p>
    <w:p>
      <w:r>
        <w:t>Several limitations warrant consideration:</w:t>
      </w:r>
    </w:p>
    <w:p>
      <w:r>
        <w:rPr>
          <w:b/>
        </w:rPr>
        <w:t>Network Scope:</w:t>
      </w:r>
      <w:r>
        <w:t xml:space="preserv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r>
        <w:rPr>
          <w:b/>
        </w:rPr>
        <w:t>Topology-Based Perturbation Analysis:</w:t>
      </w:r>
      <w:r>
        <w:t xml:space="preserve"> Our perturbation analysis ranks regulators based on network topology (connectivity, cascade overlap) rather than predicting gene expression changes. This design choice reflects data availability—dynamic gene expression prediction requires time-series perturbation experiments currently unavailable at single-cell resolution across cell types. Topology-based ranking identifies regulators for experimental validation rather than replacing experimental perturbation studies. Experimental validation remains essential to confirm predicted regulatory relationships and quantify expression changes.</w:t>
      </w:r>
    </w:p>
    <w:p>
      <w:r>
        <w:rPr>
          <w:b/>
        </w:rPr>
        <w:t>Network Construction Methodology:</w:t>
      </w:r>
      <w:r>
        <w:t xml:space="preserve"> ARACNe networks are reconstructed from scRNA-seq data using mutual information on the top 1,024 highly variable genes. Genes with low or uniform expression across cells will not appear in networks, potentially missing important regulators with constitutive low expression. Additionally, ARACNe identifies correlation-based associations that suggest regulation but do not confirm direct transcription factor binding. Chromatin immunoprecipitation (ChIP-seq) data could complement networks with binding-site information, though such data are not yet available at single-cell resolution across diverse cell types.</w:t>
      </w:r>
    </w:p>
    <w:p>
      <w:r>
        <w:rPr>
          <w:b/>
        </w:rPr>
        <w:t>Pathway Enrichment Dependence:</w:t>
      </w:r>
      <w:r>
        <w:t xml:space="preserv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r>
        <w:rPr>
          <w:b/>
        </w:rPr>
        <w:t>Prototype Implementation:</w:t>
      </w:r>
      <w:r>
        <w:t xml:space="preserve">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Pr>
        <w:pStyle w:val="Heading2"/>
      </w:pPr>
      <w:r>
        <w:t>Future Directions</w:t>
      </w:r>
    </w:p>
    <w:p>
      <w:r>
        <w:t>Several extensions could enhance RegNetAgents' capabilities while maintaining simplicity and accessibility:</w:t>
      </w:r>
    </w:p>
    <w:p>
      <w:r>
        <w:rPr>
          <w:b/>
        </w:rPr>
        <w:t>Expanded Cell Type Coverage:</w:t>
      </w:r>
      <w:r>
        <w:t xml:space="preserve"> Integration of additional cell types from CellxGene as new datasets become available. The existing preprocessing pipeline can be applied to new cell types (cardiomyocytes, neurons, hepatocytes) to broaden disease applicability without requiring new methodologies.</w:t>
      </w:r>
    </w:p>
    <w:p>
      <w:r>
        <w:rPr>
          <w:b/>
        </w:rPr>
        <w:t>Additional Gene Databases:</w:t>
      </w:r>
      <w:r>
        <w:t xml:space="preserve"> Integration of additional annotation sources (UniProt for protein function, DrugBank for existing therapeutics) would enrich domain agent analyses with minimal architectural changes. These databases provide structured APIs similar to currently integrated resources.</w:t>
      </w:r>
    </w:p>
    <w:p>
      <w:r>
        <w:rPr>
          <w:b/>
        </w:rPr>
        <w:t>Performance Optimization:</w:t>
      </w:r>
      <w:r>
        <w:t xml:space="preserve"> Caching strategies for frequently queried genes and pathway results could further reduce latency for common use cases. Pre-computation of centrality metrics for additional cell types would eliminate first-query overhead.</w:t>
      </w:r>
    </w:p>
    <w:p>
      <w:r>
        <w:rPr>
          <w:b/>
        </w:rPr>
        <w:t>Web Deployment:</w:t>
      </w:r>
      <w:r>
        <w:t xml:space="preserve">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Pr>
        <w:pStyle w:val="Heading2"/>
      </w:pPr>
      <w:r>
        <w:t>Broader Impact and Intended Use</w:t>
      </w:r>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r>
        <w:rPr>
          <w:b/>
        </w:rPr>
        <w:t>Intended Use:</w:t>
      </w:r>
      <w:r>
        <w:t xml:space="preserve"> The framework is designed for hypothesis generation and experimental prioritization, not for making clinical decisions or claiming novel biological discoveries. Users should:</w:t>
      </w:r>
    </w:p>
    <w:p>
      <w:r>
        <w:t xml:space="preserve">1. </w:t>
      </w:r>
      <w:r>
        <w:rPr>
          <w:b/>
        </w:rPr>
        <w:t>Validate hypotheses experimentally</w:t>
      </w:r>
      <w:r>
        <w:t xml:space="preserve"> - Network predictions require experimental confirmation</w:t>
      </w:r>
    </w:p>
    <w:p>
      <w:r>
        <w:t xml:space="preserve">2. </w:t>
      </w:r>
      <w:r>
        <w:rPr>
          <w:b/>
        </w:rPr>
        <w:t>Consult domain experts</w:t>
      </w:r>
      <w:r>
        <w:t xml:space="preserve"> - Biological interpretations should be reviewed by specialists</w:t>
      </w:r>
    </w:p>
    <w:p>
      <w:r>
        <w:t xml:space="preserve">3. </w:t>
      </w:r>
      <w:r>
        <w:rPr>
          <w:b/>
        </w:rPr>
        <w:t>Consider limitations</w:t>
      </w:r>
      <w:r>
        <w:t xml:space="preserve"> - Topology-based analysis does not predict dynamic gene expression changes</w:t>
      </w:r>
    </w:p>
    <w:p>
      <w:r>
        <w:t xml:space="preserve">4. </w:t>
      </w:r>
      <w:r>
        <w:rPr>
          <w:b/>
        </w:rPr>
        <w:t>Review literature</w:t>
      </w:r>
      <w:r>
        <w:t xml:space="preserve"> - Framework outputs should be compared against current biological knowledge</w:t>
      </w:r>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Pr>
        <w:pStyle w:val="Heading1"/>
      </w:pPr>
      <w:r>
        <w:t>CONCLUSIONS</w:t>
      </w:r>
    </w:p>
    <w:p>
      <w:r>
        <w:t xml:space="preserve">RegNetAgents transforms multi-hour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perturbation analysis correctly ranked experimentally validated TP53 regulators alongside novel candidates, demonstrating utility for hypothesis generation and experimental prioritization. The conversational interface via Model Context Protocol enables natural language queries without programming expertise. By integrating network analysis, perturbation simulation,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w:t>
      </w:r>
      <w:r>
        <w:rPr>
          <w:b/>
        </w:rPr>
        <w:t>This framework is intended as a hypothesis generation tool to assist researchers, not as a replacement for experimental validation or expert biological interpretation.</w:t>
      </w:r>
    </w:p>
    <w:p>
      <w:pPr>
        <w:pStyle w:val="Heading1"/>
      </w:pPr>
      <w:r>
        <w:t>ACKNOWLEDGMENTS</w:t>
      </w:r>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r>
        <w:rPr>
          <w:b/>
        </w:rPr>
        <w:t>Development Note</w:t>
      </w:r>
      <w:r>
        <w:t>: This project was developed with significant assistance from Claude Code (Anthropic's AI coding agent), which provided guidance on software architecture, Python implementation, workflow orchestration, documentation, and manuscript preparation. This work demonstrates how AI-assisted development tools can enable researchers from diverse backgrounds to implement sophisticated computational frameworks, broadening participation in computational biology research.</w:t>
      </w:r>
    </w:p>
    <w:p>
      <w:pPr>
        <w:pStyle w:val="Heading1"/>
      </w:pPr>
      <w:r>
        <w:t>AUTHOR CONTRIBUTIONS</w:t>
      </w:r>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Pr>
        <w:pStyle w:val="Heading1"/>
      </w:pPr>
      <w:r>
        <w:t>COMPETING INTERESTS</w:t>
      </w:r>
    </w:p>
    <w:p>
      <w:r>
        <w:t>The authors declare no competing interests.</w:t>
      </w:r>
    </w:p>
    <w:p>
      <w:pPr>
        <w:pStyle w:val="Heading1"/>
      </w:pPr>
      <w:r>
        <w:t>REFERENCES</w:t>
      </w:r>
    </w:p>
    <w:p>
      <w:r>
        <w:t>1. Babu MM, Luscombe NM, Aravind L, Gerstein M, Teichmann SA. Structure and evolution of transcriptional regulatory networks. Curr Opin Struct Biol. 2004;14(3):283-291.</w:t>
      </w:r>
    </w:p>
    <w:p>
      <w:r>
        <w:t>2. Davidson EH, Levine MS. Properties of developmental gene regulatory networks. Proc Natl Acad Sci USA. 2008;105(51):20063-20066.</w:t>
      </w:r>
    </w:p>
    <w:p>
      <w:r>
        <w:t>3. Califano A, Alvarez MJ. The recurrent architecture of tumour initiation, progression and drug sensitivity. Nat Rev Cancer. 2017;17(2):116-130.</w:t>
      </w:r>
    </w:p>
    <w:p>
      <w:r>
        <w:t>4. Sonawane AR, Platig J, Fagny M, et al. Understanding tissue-specific gene regulation. Cell Rep. 2017;21(4):1077-1088.</w:t>
      </w:r>
    </w:p>
    <w:p>
      <w:r>
        <w:t>5. Aibar S, González-Blas CB, Moerman T, et al. SCENIC: single-cell regulatory network inference and clustering. Nat Methods. 2017;14(11):1083-1086.</w:t>
      </w:r>
    </w:p>
    <w:p>
      <w:r>
        <w:t>6. Kamimoto K, Stringa B, Hoffmann CM, et al. Dissecting cell identity via network inference and in silico gene perturbation. Nature. 2023;614(7949):742-751.</w:t>
      </w:r>
    </w:p>
    <w:p>
      <w:r>
        <w:t>7. Szklarczyk D, Gable AL, Nastou KC, et al. The STRING database in 2021: customizable protein-protein networks, and functional characterization of user-uploaded gene/measurement sets. Nucleic Acids Res. 2021;49(D1):D605-D612.</w:t>
      </w:r>
    </w:p>
    <w:p>
      <w:r>
        <w:t>8. Oughtred R, Rust J, Chang C, et al. The BioGRID database: A comprehensive biomedical resource of curated protein, genetic, and chemical interactions. Protein Sci. 2021;30(1):187-200.</w:t>
      </w:r>
    </w:p>
    <w:p>
      <w:r>
        <w:t>9. Chen EY, Tan CM, Kou Y, et al. Enrichr: interactive and collaborative HTML5 gene list enrichment analysis tool. BMC Bioinformatics. 2013;14:128.</w:t>
      </w:r>
    </w:p>
    <w:p>
      <w:r>
        <w:t>10. Sherman BT, Hao M, Qiu J, et al. DAVID: a web server for functional enrichment analysis and functional annotation of gene lists (2021 update). Nucleic Acids Res. 2022;50(W1):W216-W221.</w:t>
      </w:r>
    </w:p>
    <w:p>
      <w:r>
        <w:t>11. Wooldridge M. An Introduction to MultiAgent Systems. 2nd ed. Wiley; 2009.</w:t>
      </w:r>
    </w:p>
    <w:p>
      <w:r>
        <w:t>12. LangGraph Documentation. LangChain AI. https://langchain-ai.github.io/langgraph/</w:t>
      </w:r>
    </w:p>
    <w:p>
      <w:r>
        <w:t>13. Anthropic. Model Context Protocol Documentation. https://modelcontextprotocol.io</w:t>
      </w:r>
    </w:p>
    <w:p>
      <w:r>
        <w:t>14. Zhang M, Swamy V, Cassius R, Dupire L, Karaletsos T, Califano A. GREmLN: A Cellular Regulatory Network-Aware Transcriptomics Foundation Model. bioRxiv. 2025. doi:10.1101/2025.07.03.663009</w:t>
      </w:r>
    </w:p>
    <w:p>
      <w:r>
        <w:t>15. Megill C, Martin B, Weaver C, et al. cellxgene: a performant, scalable exploration platform for high dimensional sparse matrices. bioRxiv. 2021. doi:10.1101/2021.04.05.438318</w:t>
      </w:r>
    </w:p>
    <w:p>
      <w:r>
        <w:t>16. Margolin AA, Nemenman I, Basso K, et al. ARACNE: an algorithm for the reconstruction of gene regulatory networks in a mammalian cellular context. BMC Bioinformatics. 2006;7(Suppl 1):S7.</w:t>
      </w:r>
    </w:p>
    <w:p>
      <w:r>
        <w:t>17. Lachmann A, Giorgi FM, Lopez G, Califano A. ARACNe-AP: gene network reverse engineering through adaptive partitioning inference of mutual information. Bioinformatics. 2016;32(14):2233-2235.</w:t>
      </w:r>
    </w:p>
    <w:p>
      <w:r>
        <w:t>18. Gillespie M, Jassal B, Stephan R, et al. The reactome pathway knowledgebase 2022. Nucleic Acids Res. 2022;50(D1):D687-D692.</w:t>
      </w:r>
    </w:p>
    <w:p>
      <w:r>
        <w:t>19. Xin J, Mark A, Afrasiabi C, et al. High-performance web services for querying gene and variant annotation. Genome Biol. 2016;17(1):91.</w:t>
      </w:r>
    </w:p>
    <w:p>
      <w:r>
        <w:t>20. Erisman MD, Rothberg PG, Diehl RE, Morse CC, Spandorfer JM, Astrin SM. Deregulation of c-myc gene expression in human colon carcinoma is not accompanied by amplification or rearrangement of the gene. Mol Cell Biol. 1985;5(8):1969-1976.</w:t>
      </w:r>
    </w:p>
    <w:p>
      <w:r>
        <w:t>21. Sears R, Nuckolls F, Haura E, Taya Y, Tamai K, Nevins JR. Multiple Ras-dependent phosphorylation pathways regulate Myc protein stability. Genes Dev. 2000;14(19):2501-2514.</w:t>
      </w:r>
    </w:p>
    <w:p>
      <w:r>
        <w:t>22. Morin PJ, Sparks AB, Korinek V, et al. Activation of beta-catenin-Tcf signaling in colon cancer by mutations in beta-catenin or APC. Science. 1997;275(5307):1787-1790.</w:t>
      </w:r>
    </w:p>
    <w:p>
      <w:r>
        <w:t>23. Segditsas S, Tomlinson I. Colorectal cancer and genetic alterations in the Wnt pathway. Oncogene. 2006;25(57):7531-7537.</w:t>
      </w:r>
    </w:p>
    <w:p>
      <w:r>
        <w:t>24. Bartkova J, Lukas J, Strauss M, Bartek J. Cyclin D1 oncoprotein aberrantly accumulates in malignancies of diverse histogenesis. Oncogene. 1995;10(4):775-778.</w:t>
      </w:r>
    </w:p>
    <w:p>
      <w:r>
        <w:t>25. Iacopetta B. TP53 mutation in colorectal cancer. Hum Mutat. 2003;21(3):271-276.</w:t>
      </w:r>
    </w:p>
    <w:p>
      <w:r>
        <w:t>26. Olivier M, Hollstein M, Hainaut P. TP53 mutations in human cancers: origins, consequences, and clinical use. Cold Spring Harb Perspect Biol. 2010;2(1):a001008.</w:t>
      </w:r>
    </w:p>
    <w:p>
      <w:r>
        <w:t>27. Lievre A, Bachet JB, Le Corre D, et al. KRAS mutation status is predictive of response to cetuximab therapy in colorectal cancer. Cancer Res. 2006;66(8):3992-3995.</w:t>
      </w:r>
    </w:p>
    <w:p>
      <w:r>
        <w:t>28. Karapetis CS, Khambata-Ford S, Jonker DJ, et al. K-ras mutations and benefit from cetuximab in advanced colorectal cancer. N Engl J Med. 2008;359(17):1757-1765.</w:t>
      </w:r>
    </w:p>
    <w:p>
      <w:r>
        <w:t>29. Sagnol S, Yang Y, Bessin Y, et al. Homodimerization of RBPMS2 through a new RRM-interaction motif is necessary to control smooth muscle plasticity. Nucleic Acids Res. 2014;42(15):10173-10184.</w:t>
      </w:r>
    </w:p>
    <w:p>
      <w:r>
        <w:t>30. Polo SE, Kaidi A, Baskcomb L, Galanty Y, Jackson SP. Regulation of DNA-damage responses and cell-cycle progression by the chromatin remodelling factor CHD4. EMBO J. 2010;29(18):3130-3139.</w:t>
      </w:r>
    </w:p>
    <w:p>
      <w:r>
        <w:t>31. Larsen DH, Poinsignon C, Gudjonsson T, et al. The chromatin-remodeling factor CHD4 coordinates signaling and repair after DNA damage. J Cell Biol. 2010;190(5):731-740.</w:t>
      </w:r>
    </w:p>
    <w:p>
      <w:r>
        <w:t>32. Smeenk G, Wiegant WW, Vrolijk H, et al. The NuRD chromatin-remodeling complex regulates signaling and repair of DNA damage. J Cell Biol. 2010;190(5):741-749.</w:t>
      </w:r>
    </w:p>
    <w:p>
      <w:r>
        <w:t>33. Strano S, Monti O, Pediconi N, et al. The transcriptional coactivator Yes-associated protein drives p73 gene-target specificity in response to DNA damage. Mol Cell. 2005;18(4):447-459.</w:t>
      </w:r>
    </w:p>
    <w:p>
      <w:r>
        <w:t>34. Levy D, Adamovich Y, Reuven N, Shaul Y. Yap1 phosphorylation by c-Abl is a critical step in selective activation of proapoptotic genes in response to DNA damage. Mol Cell. 2008;29(3):350-361.</w:t>
      </w:r>
    </w:p>
    <w:p>
      <w:r>
        <w:t>35. Shao DD, Xue W, Krall EB, et al. KRAS and YAP1 converge to regulate EMT and tumor survival. Cell. 2014;158(1):171-184.</w:t>
      </w:r>
    </w:p>
    <w:p>
      <w:r>
        <w:t>36. Zhou G, Soufan O, Ewald J, Hancock REW, Basu N, Xia J. NetworkAnalyst 3.0: a visual analytics platform for comprehensive gene expression profiling and meta-analysis. Nucleic Acids Res. 2019;47(W1):W234-W241.</w:t>
      </w:r>
    </w:p>
    <w:p>
      <w:r>
        <w:t>37. Liu A, Trairatphisan P, Gjerga E, et al. From expression footprints to causal pathways: contextualizing large signaling networks with CARNIVAL. NPJ Syst Biol Appl. 2019;5:40.</w:t>
      </w:r>
    </w:p>
    <w:p>
      <w:r>
        <w:t>38. Armingol E, Officer A, Harismendy O, Lewis NE. Deciphering cell-cell interactions and communication from gene expression. Nat Rev Genet. 2021;22(2):71-88.</w:t>
      </w:r>
    </w:p>
    <w:p>
      <w:r>
        <w:t>39. Zanconato F, Cordenonsi M, Piccolo S. YAP and TAZ: a signalling hub of the tumour microenvironment. Nat Rev Cancer. 2019;19(8):454-464.</w:t>
      </w:r>
    </w:p>
    <w:p>
      <w:r>
        <w:t>40. Zhao B, Tumaneng K, Guan KL. The Hippo pathway in organ size control, tissue regeneration and stem cell self-renewal. Nat Cell Biol. 2011;13(8):877-883.</w:t>
      </w:r>
    </w:p>
    <w:p>
      <w:r>
        <w:t>41. Dixit A, Parnas O, Li B, et al. Perturb-Seq: Dissecting molecular circuits with scalable single-cell RNA profiling of pooled genetic screens. Cell. 2016;167(7):1853-1866.e17.</w:t>
      </w:r>
    </w:p>
    <w:p>
      <w:r>
        <w:t>42. Hagberg AA, Schult DA, Swart PJ. Exploring network structure, dynamics, and function using NetworkX. Proceedings of the 7th Python in Science Conference (SciPy 2008); 2008. p. 11-15.</w:t>
      </w:r>
    </w:p>
    <w:p>
      <w:r>
        <w:t>43. Koschützki D, Schreiber F. Centrality analysis methods for biological networks and their application to gene regulatory networks. Gene Regulation and Systems Biology. 2008;2:GRSB.S702.</w:t>
      </w:r>
    </w:p>
    <w:p>
      <w:r>
        <w:t>44. Mora A, Donaldson IM. Effects of protein interaction data integration, representation and reliability on the use of network properties for drug target prediction. BMC Bioinformatics. 2021;22(1):1-29. doi:10.1186/s12859-021-04042-6</w:t>
      </w:r>
    </w:p>
    <w:p>
      <w:pPr>
        <w:pStyle w:val="Heading1"/>
      </w:pPr>
      <w:r>
        <w:t>FIGURE LEGENDS</w:t>
      </w:r>
    </w:p>
    <w:p>
      <w:r>
        <w:rPr>
          <w:b/>
        </w:rP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perturbation analysis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r>
        <w:rPr>
          <w:b/>
        </w:rPr>
        <w:t>Figure 2. Colorectal Cancer Biomarker Panel Regulatory Architecture.</w:t>
      </w:r>
    </w:p>
    <w:p>
      <w:r>
        <w:t>(A) Network diagram showing the five analyzed genes (MYC, CTNNB1, CCND1, TP53, KRAS) with regulators (upstream arrows) and targets (downstream arrows) in the epithelial cell network. Node size represents number of connections; node color indicates regulatory role classification (red = hub regulator, yellow = terminal target, blue = target). TP53 emerges as central hub with 163 targets. (B) Bar chart comparing number of regulators (left) and targets (right) for each gene. (C) Biomarker type classification showing diagnostic, prognostic, and predictive categories.</w:t>
      </w:r>
    </w:p>
    <w:p>
      <w:r>
        <w:rPr>
          <w:b/>
        </w:rPr>
        <w:t>Figure 3. TP53 Perturbation Analysis and Therapeutic Target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with color. (B) Horizontal bar chart of PageRank centrality scores for all 7 regulators, ranked from highest (WWTR1, 0.473) to lowest (IKZF2, 0.399). PageRank differentiates therapeutic potential when regulatory loss is equal. Color intensity indicates network influence. (C) Alternative ranking by degree centrality showing downstream target count, with RBPMS highest (403 targets). Annotations indicate regulators with literature validation (WWTR1, YAP1 - Hippo pathway) vs. novel hypotheses (RBPMS).</w:t>
      </w:r>
    </w:p>
    <w:p>
      <w:pPr>
        <w:pStyle w:val="Heading1"/>
      </w:pPr>
      <w:r>
        <w:t>DATA AVAILABILITY</w:t>
      </w:r>
    </w:p>
    <w:p>
      <w:r>
        <w:t>All data and results needed to evaluate the conclusions in the paper are present in the paper and/or the figures.</w:t>
      </w:r>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r>
        <w:t>Raw analysis outputs (JSON format) for the case study analyses presented in this manuscript are available from the corresponding author upon reasonable request.</w:t>
      </w:r>
    </w:p>
    <w:p>
      <w:pPr>
        <w:pStyle w:val="Heading1"/>
      </w:pPr>
      <w:r>
        <w:t>CODE AVAILABILITY</w:t>
      </w:r>
    </w:p>
    <w:p>
      <w:r>
        <w:t>The RegNetAgents software implementation is available from the corresponding author upon reasonable request for academic research purposes. All analytical methods, network centrality algorithms, perturbation analysis procedures, and workflow orchestration logic are fully described in the Methods section to facilitate independent re-implementation by interested researchers.</w:t>
      </w:r>
    </w:p>
    <w:p>
      <w:r>
        <w:t>Network data used in this study are publicly available through the GREmLN Quickstart Tutorial (https://virtualcellmodels.cziscience.com/quickstart/gremln-quickstart). Pathway enrichment was performed using the publicly accessible Reactome API (https://reactome.org/AnalysisService/).</w:t>
      </w:r>
    </w:p>
    <w:p>
      <w:r>
        <w:rPr>
          <w:b/>
        </w:rPr>
        <w:t>END OF MANUSCRIPT</w:t>
      </w:r>
    </w:p>
    <w:p>
      <w:r>
        <w:rPr>
          <w:b/>
        </w:rPr>
        <w:t>Manuscript Statistics:</w:t>
      </w:r>
    </w:p>
    <w:p>
      <w:r>
        <w:t>- Words (excluding references): ~8,500</w:t>
      </w:r>
    </w:p>
    <w:p>
      <w:r>
        <w:t>- Figures: 3 main</w:t>
      </w:r>
    </w:p>
    <w:p>
      <w:r>
        <w:t>- Tables: 3 main</w:t>
      </w:r>
    </w:p>
    <w:p>
      <w:r>
        <w:t>- References: 44</w:t>
      </w:r>
    </w:p>
    <w:p>
      <w:r>
        <w:t>- Pages (estimated): 12-15 in typical journal format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