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Demonstration on colorectal cancer biomarkers (MYC, CTNNB1, CCND1, TP53, KRAS)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 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pPr>
        <w:pStyle w:val="ListNumber"/>
      </w:pPr>
      <w:r>
        <w:t>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pPr>
        <w:pStyle w:val="ListNumber"/>
      </w:pPr>
      <w:r>
        <w:t>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pPr>
        <w:pStyle w:val="ListNumber"/>
      </w:pPr>
      <w:r>
        <w:t>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pPr>
        <w:pStyle w:val="ListNumber"/>
      </w:pPr>
      <w:r>
        <w:t>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~5 seconds per gene (4 agents in parallel, ~1.25s each) compared to rule-based mode. For 5-gene analysis: ~6 seconds (rule-based) vs ~20 seconds (LLM). Both modes remain orders of magnitude faster than manual literature review.</w:t>
      </w:r>
    </w:p>
    <w:p/>
    <w:p>
      <w:r>
        <w:t>LLM Reproducibility: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pPr>
        <w:pStyle w:val="ListNumber"/>
      </w:pPr>
      <w:r>
        <w:t>comprehensivegeneanalysis: Full workflow execution (network + regulators + targets + perturbation + pathways + domains)</w:t>
      </w:r>
    </w:p>
    <w:p>
      <w:pPr>
        <w:pStyle w:val="ListNumber"/>
      </w:pPr>
      <w:r>
        <w:t>multigeneanalysis: Parallel processing of multiple genes with comparative analysis</w:t>
      </w:r>
    </w:p>
    <w:p>
      <w:pPr>
        <w:pStyle w:val="ListNumber"/>
      </w:pPr>
      <w:r>
        <w:t>pathwayfocusedanalysis: Pathway enrichment for user-specified gene lists</w:t>
      </w:r>
    </w:p>
    <w:p>
      <w:pPr>
        <w:pStyle w:val="ListNumber"/>
      </w:pPr>
      <w:r>
        <w:t>analyze_regulators: Detailed upstream regulator analysis with perturbation</w:t>
      </w:r>
    </w:p>
    <w:p>
      <w:pPr>
        <w:pStyle w:val="ListNumber"/>
      </w:pPr>
      <w:r>
        <w:t>analyze_targets: Detailed downstream target analysis with cascade effects</w:t>
      </w:r>
    </w:p>
    <w:p>
      <w:pPr>
        <w:pStyle w:val="ListNumber"/>
      </w:pPr>
      <w:r>
        <w:t>crosscellcomparison: Regulatory role comparison across all 10 cell types</w:t>
      </w:r>
    </w:p>
    <w:p>
      <w:pPr>
        <w:pStyle w:val="ListNumber"/>
      </w:pPr>
      <w:r>
        <w:t>workflow_status: Real-time execution monitoring</w:t>
      </w:r>
    </w:p>
    <w:p>
      <w:pPr>
        <w:pStyle w:val="ListNumber"/>
      </w:pPr>
      <w:r>
        <w:t>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pPr>
        <w:pStyle w:val="ListNumber"/>
      </w:pPr>
      <w:r>
        <w:t>Single gene comprehensive analysis: TP53 in epithelial cells (all workflow steps)</w:t>
      </w:r>
    </w:p>
    <w:p>
      <w:pPr>
        <w:pStyle w:val="ListNumber"/>
      </w:pPr>
      <w:r>
        <w:t>Multi-gene analysis: 5 genes (MYC, CTNNB1, CCND1, TP53, KRAS) in epithelial cells</w:t>
      </w:r>
    </w:p>
    <w:p>
      <w:pPr>
        <w:pStyle w:val="ListNumber"/>
      </w:pPr>
      <w:r>
        <w:t>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p>
      <w:r>
        <w:t>Predictive Biomarker (KRAS): Target gene with moderate clinical actionability. KRAS status predicts response to specific therapies (anti-EGFR antibodies). Literature validation: KRAS mutations occur in 40-45% of CRCs and confer resistance to cetuximab/panitumumab (26,27).</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p>
      <w:r>
        <w:t>RBPMS: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p>
      <w:r>
        <w:t>PRRX2: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p>
      <w:r>
        <w:t>This comparison demonstrates that topology-based ranking can: (1) recapitulate experimentally validated regulators (WWTR1/CHD4/YAP1 from Hippo pathway),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pPr>
        <w:pStyle w:val="ListNumber"/>
      </w:pPr>
      <w:r>
        <w:t>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pPr>
        <w:pStyle w:val="ListNumber"/>
      </w:pPr>
      <w:r>
        <w:t>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pPr>
        <w:pStyle w:val="ListNumber"/>
      </w:pPr>
      <w:r>
        <w:t>Regulation of TP53 Expression (FDR = 0.0033, 2/4 genes)</w:t>
      </w:r>
    </w:p>
    <w:p>
      <w:pPr>
        <w:pStyle w:val="ListNumber"/>
      </w:pPr>
      <w:r>
        <w:t>RUNX3 regulates YAP1-mediated transcription (FDR = 0.0084, 2/9 genes)</w:t>
      </w:r>
    </w:p>
    <w:p>
      <w:pPr>
        <w:pStyle w:val="ListNumber"/>
      </w:pPr>
      <w:r>
        <w:t>YAP1- and WWTR1 (TAZ)-stimulated gene expression (FDR = 0.020, 2/18 genes)</w:t>
      </w:r>
    </w:p>
    <w:p>
      <w:pPr>
        <w:pStyle w:val="ListNumber"/>
      </w:pPr>
      <w:r>
        <w:t>Transcriptional regulation by RUNX3 (FDR = 0.020, 3/108 genes)</w:t>
      </w:r>
    </w:p>
    <w:p>
      <w:pPr>
        <w:pStyle w:val="ListNumber"/>
      </w:pPr>
      <w:r>
        <w:t>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Integration of additional annotation sources (UniProt for protein function, DrugBank for existing therapeutics) would enrich domain agent analyses with minimal architectural changes. These databases provide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pPr>
        <w:pStyle w:val="ListNumber"/>
      </w:pPr>
      <w:r>
        <w:t>Validate hypotheses experimentally - Network predictions require experimental confirmation</w:t>
      </w:r>
    </w:p>
    <w:p>
      <w:pPr>
        <w:pStyle w:val="ListNumber"/>
      </w:pPr>
      <w:r>
        <w:t>Consult domain experts - Biological interpretations should be reviewed by specialists</w:t>
      </w:r>
    </w:p>
    <w:p>
      <w:pPr>
        <w:pStyle w:val="ListNumber"/>
      </w:pPr>
      <w:r>
        <w:t>Consider limitations - Topology-based analysis does not predict dynamic gene expression changes</w:t>
      </w:r>
    </w:p>
    <w:p>
      <w:pPr>
        <w:pStyle w:val="ListNumber"/>
      </w:pPr>
      <w:r>
        <w:t>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pPr>
        <w:pStyle w:val="ListNumber"/>
      </w:pPr>
      <w:r>
        <w:t>Babu MM, Luscombe NM, Aravind L, Gerstein M, Teichmann SA. Structure and evolution of transcriptional regulatory networks. Curr Opin Struct Biol. 2004;14(3):283-291.</w:t>
      </w:r>
    </w:p>
    <w:p/>
    <w:p>
      <w:pPr>
        <w:pStyle w:val="ListNumber"/>
      </w:pPr>
      <w:r>
        <w:t>Davidson EH, Levine MS. Properties of developmental gene regulatory networks. Proc Natl Acad Sci USA. 2008;105(51):20063-20066.</w:t>
      </w:r>
    </w:p>
    <w:p/>
    <w:p>
      <w:pPr>
        <w:pStyle w:val="ListNumber"/>
      </w:pPr>
      <w:r>
        <w:t>Califano A, Alvarez MJ. The recurrent architecture of tumour initiation, progression and drug sensitivity. Nat Rev Cancer. 2017;17(2):116-130.</w:t>
      </w:r>
    </w:p>
    <w:p/>
    <w:p>
      <w:pPr>
        <w:pStyle w:val="ListNumber"/>
      </w:pPr>
      <w:r>
        <w:t>Sonawane AR, Platig J, Fagny M, et al. Understanding tissue-specific gene regulation. Cell Rep. 2017;21(4):1077-1088.</w:t>
      </w:r>
    </w:p>
    <w:p/>
    <w:p>
      <w:pPr>
        <w:pStyle w:val="ListNumber"/>
      </w:pPr>
      <w:r>
        <w:t>Aibar S, González-Blas CB, Moerman T, et al. SCENIC: single-cell regulatory network inference and clustering. Nat Methods. 2017;14(11):1083-1086.</w:t>
      </w:r>
    </w:p>
    <w:p/>
    <w:p>
      <w:pPr>
        <w:pStyle w:val="ListNumber"/>
      </w:pPr>
      <w:r>
        <w:t>Kamimoto K, Stringa B, Hoffmann CM, et al. Dissecting cell identity via network inference and in silico gene perturbation. Nature. 2023;614(7949):742-751.</w:t>
      </w:r>
    </w:p>
    <w:p/>
    <w:p>
      <w:pPr>
        <w:pStyle w:val="ListNumber"/>
      </w:pPr>
      <w:r>
        <w:t>Szklarczyk D, Gable AL, Nastou KC, et al. The STRING database in 2021: customizable protein-protein networks, and functional characterization of user-uploaded gene/measurement sets. Nucleic Acids Res. 2021;49(D1):D605-D612.</w:t>
      </w:r>
    </w:p>
    <w:p/>
    <w:p>
      <w:pPr>
        <w:pStyle w:val="ListNumber"/>
      </w:pPr>
      <w:r>
        <w:t>Oughtred R, Rust J, Chang C, et al. The BioGRID database: A comprehensive biomedical resource of curated protein, genetic, and chemical interactions. Protein Sci. 2021;30(1):187-200.</w:t>
      </w:r>
    </w:p>
    <w:p/>
    <w:p>
      <w:pPr>
        <w:pStyle w:val="ListNumber"/>
      </w:pPr>
      <w:r>
        <w:t>Chen EY, Tan CM, Kou Y, et al. Enrichr: interactive and collaborative HTML5 gene list enrichment analysis tool. BMC Bioinformatics. 2013;14:128.</w:t>
      </w:r>
    </w:p>
    <w:p/>
    <w:p>
      <w:pPr>
        <w:pStyle w:val="ListNumber"/>
      </w:pPr>
      <w:r>
        <w:t>Sherman BT, Hao M, Qiu J, et al. DAVID: a web server for functional enrichment analysis and functional annotation of gene lists (2021 update). Nucleic Acids Res. 2022;50(W1):W216-W221.</w:t>
      </w:r>
    </w:p>
    <w:p/>
    <w:p>
      <w:pPr>
        <w:pStyle w:val="ListNumber"/>
      </w:pPr>
      <w:r>
        <w:t>Wooldridge M. An Introduction to MultiAgent Systems. 2nd ed. Wiley; 2009.</w:t>
      </w:r>
    </w:p>
    <w:p/>
    <w:p>
      <w:pPr>
        <w:pStyle w:val="ListNumber"/>
      </w:pPr>
      <w:r>
        <w:t>LangGraph Documentation. LangChain AI. https://langchain-ai.github.io/langgraph/</w:t>
      </w:r>
    </w:p>
    <w:p/>
    <w:p>
      <w:pPr>
        <w:pStyle w:val="ListNumber"/>
      </w:pPr>
      <w:r>
        <w:t>Anthropic. Model Context Protocol Documentation. https://modelcontextprotocol.io</w:t>
      </w:r>
    </w:p>
    <w:p/>
    <w:p>
      <w:pPr>
        <w:pStyle w:val="ListNumber"/>
      </w:pPr>
      <w:r>
        <w:t>Zhang M, Swamy V, Cassius R, Dupire L, Karaletsos T, Califano A. GREmLN: A Cellular Graph Structure Aware Transcriptomics Foundation Model. bioRxiv. 2025. doi:10.1101/2025.07.03.663009</w:t>
      </w:r>
    </w:p>
    <w:p/>
    <w:p>
      <w:pPr>
        <w:pStyle w:val="ListNumber"/>
      </w:pPr>
      <w:r>
        <w:t>Megill C, Martin B, Weaver C, et al. cellxgene: a performant, scalable exploration platform for high dimensional sparse matrices. bioRxiv. 2021. doi:10.1101/2021.04.05.438318</w:t>
      </w:r>
    </w:p>
    <w:p/>
    <w:p>
      <w:pPr>
        <w:pStyle w:val="ListNumber"/>
      </w:pPr>
      <w:r>
        <w:t>Margolin AA, Nemenman I, Basso K, et al. ARACNE: an algorithm for the reconstruction of gene regulatory networks in a mammalian cellular context. BMC Bioinformatics. 2006;7(Suppl 1):S7.</w:t>
      </w:r>
    </w:p>
    <w:p/>
    <w:p>
      <w:pPr>
        <w:pStyle w:val="ListNumber"/>
      </w:pPr>
      <w:r>
        <w:t>Lachmann A, Giorgi FM, Lopez G, Califano A. ARACNe-AP: gene network reverse engineering through adaptive partitioning inference of mutual information. Bioinformatics. 2016;32(14):2233-2235.</w:t>
      </w:r>
    </w:p>
    <w:p/>
    <w:p>
      <w:pPr>
        <w:pStyle w:val="ListNumber"/>
      </w:pPr>
      <w:r>
        <w:t>Yates AD, Achuthan P, Akanni W, et al. Ensembl 2020. Nucleic Acids Res. 2020;48(D1):D682-D688.</w:t>
      </w:r>
    </w:p>
    <w:p/>
    <w:p>
      <w:pPr>
        <w:pStyle w:val="ListNumber"/>
      </w:pPr>
      <w:r>
        <w:t>Gillespie M, Jassal B, Stephan R, et al. The reactome pathway knowledgebase 2022. Nucleic Acids Res. 2022;50(D1):D687-D692.</w:t>
      </w:r>
    </w:p>
    <w:p/>
    <w:p>
      <w:pPr>
        <w:pStyle w:val="ListNumber"/>
      </w:pPr>
      <w:r>
        <w:t>Erisman MD, Rothberg PG, Diehl RE, Morse CC, Spandorfer JM, Astrin SM. Deregulation of c-myc gene expression in human colon carcinoma is not accompanied by amplification or rearrangement of the gene. Mol Cell Biol. 1985;5(8):1969-1976.</w:t>
      </w:r>
    </w:p>
    <w:p/>
    <w:p>
      <w:pPr>
        <w:pStyle w:val="ListNumber"/>
      </w:pPr>
      <w:r>
        <w:t>Sears R, Nuckolls F, Haura E, Taya Y, Tamai K, Nevins JR. Multiple Ras-dependent phosphorylation pathways regulate Myc protein stability. Genes Dev. 2000;14(19):2501-2514.</w:t>
      </w:r>
    </w:p>
    <w:p/>
    <w:p>
      <w:pPr>
        <w:pStyle w:val="ListNumber"/>
      </w:pPr>
      <w:r>
        <w:t>Morin PJ, Sparks AB, Korinek V, et al. Activation of beta-catenin-Tcf signaling in colon cancer by mutations in beta-catenin or APC. Science. 1997;275(5307):1787-1790.</w:t>
      </w:r>
    </w:p>
    <w:p/>
    <w:p>
      <w:pPr>
        <w:pStyle w:val="ListNumber"/>
      </w:pPr>
      <w:r>
        <w:t>Segditsas S, Tomlinson I. Colorectal cancer and genetic alterations in the Wnt pathway. Oncogene. 2006;25(57):7531-7537.</w:t>
      </w:r>
    </w:p>
    <w:p/>
    <w:p>
      <w:pPr>
        <w:pStyle w:val="ListNumber"/>
      </w:pPr>
      <w:r>
        <w:t>Bartkova J, Lukas J, Strauss M, Bartek J. Cyclin D1 oncoprotein aberrantly accumulates in malignancies of diverse histogenesis. Oncogene. 1995;10(4):775-778.</w:t>
      </w:r>
    </w:p>
    <w:p/>
    <w:p>
      <w:pPr>
        <w:pStyle w:val="ListNumber"/>
      </w:pPr>
      <w:r>
        <w:t>Iacopetta B. TP53 mutation in colorectal cancer. Hum Mutat. 2003;21(3):271-276.</w:t>
      </w:r>
    </w:p>
    <w:p/>
    <w:p>
      <w:pPr>
        <w:pStyle w:val="ListNumber"/>
      </w:pPr>
      <w:r>
        <w:t>Olivier M, Hollstein M, Hainaut P. TP53 mutations in human cancers: origins, consequences, and clinical use. Cold Spring Harb Perspect Biol. 2010;2(1):a001008.</w:t>
      </w:r>
    </w:p>
    <w:p/>
    <w:p>
      <w:pPr>
        <w:pStyle w:val="ListNumber"/>
      </w:pPr>
      <w:r>
        <w:t>Lievre A, Bachet JB, Le Corre D, et al. KRAS mutation status is predictive of response to cetuximab therapy in colorectal cancer. Cancer Res. 2006;66(8):3992-3995.</w:t>
      </w:r>
    </w:p>
    <w:p/>
    <w:p>
      <w:pPr>
        <w:pStyle w:val="ListNumber"/>
      </w:pPr>
      <w:r>
        <w:t>Karapetis CS, Khambata-Ford S, Jonker DJ, et al. K-ras mutations and benefit from cetuximab in advanced colorectal cancer. N Engl J Med. 2008;359(17):1757-1765.</w:t>
      </w:r>
    </w:p>
    <w:p/>
    <w:p>
      <w:pPr>
        <w:pStyle w:val="ListNumber"/>
      </w:pPr>
      <w:r>
        <w:t>Sagnol S, Yang Y, Bessin Y, et al. Homodimerization of RBPMS2 through a new RRM-interaction motif is necessary to control smooth muscle plasticity. Nucleic Acids Res. 2014;42(15):10173-10184.</w:t>
      </w:r>
    </w:p>
    <w:p/>
    <w:p>
      <w:pPr>
        <w:pStyle w:val="ListNumber"/>
      </w:pPr>
      <w:r>
        <w:t>Polo SE, Kaidi A, Baskcomb L, Galanty Y, Jackson SP. Regulation of DNA-damage responses and cell-cycle progression by the chromatin remodelling factor CHD4. EMBO J. 2010;29(18):3130-3139.</w:t>
      </w:r>
    </w:p>
    <w:p/>
    <w:p>
      <w:pPr>
        <w:pStyle w:val="ListNumber"/>
      </w:pPr>
      <w:r>
        <w:t>Larsen DH, Poinsignon C, Gudjonsson T, et al. The chromatin-remodeling factor CHD4 coordinates signaling and repair after DNA damage. J Cell Biol. 2010;190(5):731-740.</w:t>
      </w:r>
    </w:p>
    <w:p/>
    <w:p>
      <w:pPr>
        <w:pStyle w:val="ListNumber"/>
      </w:pPr>
      <w:r>
        <w:t>Smeenk G, Wiegant WW, Vrolijk H, et al. The NuRD chromatin-remodeling complex regulates signaling and repair of DNA damage. J Cell Biol. 2010;190(5):741-749.</w:t>
      </w:r>
    </w:p>
    <w:p/>
    <w:p>
      <w:pPr>
        <w:pStyle w:val="ListNumber"/>
      </w:pPr>
      <w:r>
        <w:t>Strano S, Monti O, Pediconi N, et al. The transcriptional coactivator Yes-associated protein drives p73 gene-target specificity in response to DNA damage. Mol Cell. 2005;18(4):447-459.</w:t>
      </w:r>
    </w:p>
    <w:p/>
    <w:p>
      <w:pPr>
        <w:pStyle w:val="ListNumber"/>
      </w:pPr>
      <w:r>
        <w:t>Levy D, Adamovich Y, Reuven N, Shaul Y. Yap1 phosphorylation by c-Abl is a critical step in selective activation of proapoptotic genes in response to DNA damage. Mol Cell. 2008;29(3):350-361.</w:t>
      </w:r>
    </w:p>
    <w:p/>
    <w:p>
      <w:pPr>
        <w:pStyle w:val="ListNumber"/>
      </w:pPr>
      <w:r>
        <w:t>Shao DD, Xue W, Krall EB, et al. KRAS and YAP1 converge to regulate EMT and tumor survival. Cell. 2014;158(1):171-184.</w:t>
      </w:r>
    </w:p>
    <w:p/>
    <w:p>
      <w:pPr>
        <w:pStyle w:val="ListNumber"/>
      </w:pPr>
      <w:r>
        <w:t>Zhou G, Soufan O, Ewald J, Hancock REW, Basu N, Xia J. NetworkAnalyst 3.0: a visual analytics platform for comprehensive gene expression profiling and meta-analysis. Nucleic Acids Res. 2019;47(W1):W234-W241.</w:t>
      </w:r>
    </w:p>
    <w:p/>
    <w:p>
      <w:pPr>
        <w:pStyle w:val="ListNumber"/>
      </w:pPr>
      <w:r>
        <w:t>Liu A, Trairatphisan P, Gjerga E, et al. From expression footprints to causal pathways: contextualizing large signaling networks with CARNIVAL. NPJ Syst Biol Appl. 2019;5:40.</w:t>
      </w:r>
    </w:p>
    <w:p/>
    <w:p>
      <w:pPr>
        <w:pStyle w:val="ListNumber"/>
      </w:pPr>
      <w:r>
        <w:t>Armingol E, Officer A, Harismendy O, Lewis NE. Deciphering cell-cell interactions and communication from gene expression. Nat Rev Genet. 2021;22(2):71-88.</w:t>
      </w:r>
    </w:p>
    <w:p/>
    <w:p>
      <w:pPr>
        <w:pStyle w:val="ListNumber"/>
      </w:pPr>
      <w:r>
        <w:t>Zanconato F, Cordenonsi M, Piccolo S. YAP and TAZ: a signalling hub of the tumour microenvironment. Nat Rev Cancer. 2019;19(8):454-464.</w:t>
      </w:r>
    </w:p>
    <w:p/>
    <w:p>
      <w:pPr>
        <w:pStyle w:val="ListNumber"/>
      </w:pPr>
      <w:r>
        <w:t>Zhao B, Tumaneng K, Guan KL. The Hippo pathway in organ size control, tissue regeneration and stem cell self-renewal. Nat Cell Biol. 2011;13(8):877-883.</w:t>
      </w:r>
    </w:p>
    <w:p/>
    <w:p>
      <w:pPr>
        <w:pStyle w:val="ListNumber"/>
      </w:pPr>
      <w:r>
        <w:t>Dixit A, Parnas O, Li B, et al. Perturb-Seq: Dissecting molecular circuits with scalable single-cell RNA profiling of pooled genetic screens. Cell. 2016;167(7):1853-1866.e17.</w:t>
      </w:r>
    </w:p>
    <w:p/>
    <w:p>
      <w:pPr>
        <w:pStyle w:val="ListNumber"/>
      </w:pPr>
      <w:r>
        <w:t>Hagberg AA, Schult DA, Swart PJ. Exploring network structure, dynamics, and function using NetworkX. Proceedings of the 7th Python in Science Conference (SciPy 2008); 2008. p. 11-15.</w:t>
      </w:r>
    </w:p>
    <w:p/>
    <w:p>
      <w:pPr>
        <w:pStyle w:val="ListNumber"/>
      </w:pPr>
      <w:r>
        <w:t>Koschützki D, Schreiber F. Centrality analysis methods for biological networks and their application to gene regulatory networks. Gene Regulation and Systems Biology. 2008;2:GRSB.S702.</w:t>
      </w:r>
    </w:p>
    <w:p/>
    <w:p>
      <w:pPr>
        <w:pStyle w:val="ListNumber"/>
      </w:pPr>
      <w:r>
        <w:t>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