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genes (MYC, CTNNB1, CCND1, TP53, KRAS), the framework characterized distinct regulatory architectures (hub regulators vs. heavily regulated genes) that align with known biological roles.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