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automates gene regulatory analysis through conversational interaction via Claude Desktop. The system integrates network modeling, therapeutic target ranking, pathway enrichment, and multi-domain interpretation without requiring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p>
      <w:r>
        <w:t>Analysis of 99 regulators across 5 genes completed in 15-62 seconds, representing orders of magnitude speedup over manual workflows. This five-gene demonstration establishes proof-of-concept for recapitulating literature-confirmed patterns and generating testable hypotheses. RegNetAgents serves as a hypothesis generation tool for prioritizing experimental candidates, transforming labor-intensive analysis into second-scale automated workflows accessible to experimental biologists.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crosscellcomparison: Regulatory role comparison across all 10 cell types</w:t>
      </w:r>
    </w:p>
    <w:p>
      <w:r>
        <w:t>5. workflow_status: Real-time execution monitoring</w:t>
      </w:r>
    </w:p>
    <w:p>
      <w:r>
        <w:t>6. workflow_insights: Performance analytics and routing decisions</w:t>
      </w:r>
    </w:p>
    <w:p>
      <w:r>
        <w:t>7. createanalysisreport: Generate formatted analysis summaries</w:t>
      </w:r>
    </w:p>
    <w:p>
      <w:r>
        <w:t>8. loadgeneresults: Load previously saved analysis results</w:t>
      </w:r>
    </w:p>
    <w:p>
      <w:r>
        <w:t>9. listavailableresults: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r>
        <w:br w:type="page"/>
      </w:r>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 Importantly,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r>
        <w:br w:type="page"/>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"perturbation_results":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