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(minimal regulatory architecture)</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heavily regulated: CCND1; weakly regulated: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0.60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One gene showed a heavily regulated profile with extensive upstream control: CCND1 (0 targets, 42 regulators), indicating complex regulatory integration. One gene showed a weakly regulated profile with minimal regulatory architecture: KRAS (0 targets, 7 regulators), suggesting it functions as a simple endpoint effector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CCND1 showed a heavily regulated profile with extensive upstream control (42 regulators), consistent with complex regulatory integration of cell cycle signaling. KRAS showed a weakly regulated profile (7 regulators, 0 targets), consistent with its role as a downstream endpoint effector in oncogenic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heavily regulated genes, and weakly regulated endpoints)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align with known biological roles - TP53, MYC, and CTNNB1 as master regulatory hubs in tumor suppression and oncogenic signaling; CCND1 as a heavily regulated cell cycle effector with extensive upstream control; and KRAS as a weakly regulated downstream endpoint in oncogenic signaling cascades.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and do not provide automated therapeutic target prioritization via regulator ranking. While NetworkAnalyst provides a web interface, users must manually navigate multi-step workflows; CARNIVAL requires R programming expertise.</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Heavily regulated endpoints like CCND1 (42 upstream regulators) suggest complex regulatory integration requiring multi-pathway intervention strategies, while weakly regulated endpoints like KRAS (7 regulators) may offer simpler, more direct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Bar chart showing regulatory network architecture with number of upstream regulators (blue) and downstream targets (red) for each gene. TP53, MYC, and CTNNB1 show extensive downstream connectivity (163, 427, and 310 targets respectively), while CCND1 and KRAS have no downstream targets. (B) Regulatory role classification based on network topology: red = hub regulator (TP53, MYC, CTNNB1), orange = heavily regulated (CCND1), blue = weakly regulated (KRAS). (C) Biomarker type classification showing diagnostic, prognostic, and predictive categories. (D) Pathway enrichment showing number of significantly enriched Reactome pathways (FDR &lt; 0.05) for each gene's regulatory neighborhood.</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in green. (B) Horizontal bar chart of PageRank centrality scores for all 7 regulators, ranked from highest (WWTR1, 0.473) to lowest (IKZF2, 0.399). PageRank differentiates therapeutic potential when regulatory loss is equal. Top 3 regulators highlighted in green. (C) Alternative ranking by degree centrality (out-degree) showing downstream target count, with RBPMS highest (403 targets), followed by WWTR1 (293 targets) and CHD4 (243 targets). This provides complementary ranking to PageRank, showing potential for broader network effects.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