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r>
        <w:t>---</w:t>
      </w:r>
    </w:p>
    <w:p/>
    <w:p>
      <w:pPr>
        <w:pStyle w:val="Heading2"/>
        <w:keepNext/>
      </w:pPr>
      <w:r>
        <w:t>Authors</w:t>
      </w:r>
    </w:p>
    <w:p>
      <w:r>
        <w:t>Jose A. Bird, PhD</w:t>
      </w:r>
    </w:p>
    <w:p>
      <w:r>
        <w:t>Bird AI Solutions</w:t>
      </w:r>
    </w:p>
    <w:p>
      <w:r>
        <w:t>jbird@birdaisolutions.com</w:t>
      </w:r>
    </w:p>
    <w:p/>
    <w:p>
      <w:r>
        <w:t>---</w:t>
      </w:r>
    </w:p>
    <w:p/>
    <w:p>
      <w:pPr>
        <w:pStyle w:val="Heading2"/>
        <w:keepNext/>
      </w:pPr>
      <w:r>
        <w:t>ABSTRACT</w:t>
      </w:r>
    </w:p>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network-based target ranking, pathway enrichment, and multi-domain interpretation into a conversational interface accessible via Claude Desktop without programming expertise.</w:t>
      </w:r>
    </w:p>
    <w:p/>
    <w:p>
      <w:r>
        <w:t>Built on ARACNe networks from 500,000+ single cells across 10 cell types, the framework deploys four specialized agents executing in parallel with rule-based fallback for reliability. Automated perturbation analysis ranks candidate therapeutic targets using network centrality metrics (PageRank, degree centrality).</w:t>
      </w:r>
    </w:p>
    <w:p/>
    <w:p>
      <w:r>
        <w:t>In a demonstration study of five colorectal cancer biomarkers (MYC, CTNNB1, CCND1, TP53, KRAS), framework classifications showed complete concordance with published literature across this limited sample. Perturbation analysis identified literature-supported TP53 interactors (WWTR1, YAP1, CHD4) among the top-ranked network neighbors based on topology. Additional high-ranking regulators (RBPMS, PRRX2, THRA, IKZF2) represent novel hypotheses prioritized for experimental validation.</w:t>
      </w:r>
    </w:p>
    <w:p/>
    <w:p>
      <w:r>
        <w:t>Complete analysis of 99 regulators across 5 genes completed in 15-62 seconds, representing orders of magnitude speedup over manual workflows. This demonstration on a limited five-gene panel establishes proof-of-concept for the framework's ability to recapitulate literature-confirmed patterns and generate testable hypotheses. RegNetAgents is designed as a hypothesis generation tool to prioritize candidates for experimental validation, not as a replacement for wet-lab experimentation. The framework transforms labor-intensive analysis into second-scale automated hypothesis generation accessible to experimental biologists.</w:t>
      </w:r>
    </w:p>
    <w:p/>
    <w:p>
      <w:r>
        <w:t>Keywords: gene regulatory networks, single-cell RNA-seq, multi-agent systems, workflow orchestration, biomarker discovery, therapeutic target identification, network centrality, PageRank, LangGraph, Model Context Protocol</w:t>
      </w:r>
    </w:p>
    <w:p/>
    <w:p>
      <w:r>
        <w:t>---</w:t>
      </w:r>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perturbation analysis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Perturbation Analysis Agent</w:t>
      </w:r>
    </w:p>
    <w:p>
      <w:r>
        <w:t>For genes with five or more upstream regulators, we perform automated perturbation analysis to identify potential therapeutic targets. This analysis ranks upstream regulators as potential therapeutic targets using network centrality metrics computed from network topology.</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Perturbation Analysis Limitations:</w:t>
      </w:r>
    </w:p>
    <w:p/>
    <w:p>
      <w:r>
        <w:t>Our perturbation analysis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perturbation analysis can identify literature-supported functional interactors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p>
      <w:pPr>
        <w:pStyle w:val="Heading4"/>
        <w:keepNext/>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p>
      <w:r>
        <w:t>Systems Biology Agent: Interprets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(Rule-Based Mode): Domain agent classifications use network topology thresholds empirically chosen to reflect regulatory roles.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 They provide qualitative guidance for experimental prioritization in rule-based mode but should not be interpreted as validated predictive scores. LLM-powered mode does not use fixed thresholds—classifications are generated by the language model based on network context. Network centrality metrics (PageRank, degree centrality) remain the primary validated quantitative outputs, with perturbation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(perturbation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Perturbation analysis results (if applicable, with ranked therapeutic targets)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perturbation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perturbation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r>
        <w:br w:type="page"/>
      </w:r>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Complete concordance with published biomarker classifications across limited sample (5/5 genes classified consistently with literature)</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p>
      <w:r>
        <w:t>LLM-powered mode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LLM inference adds ~3-4 seconds per agent. PageRank pre-computation enables instant perturbation analysis.</w:t>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0.68 sec</w:t>
            </w:r>
          </w:p>
        </w:tc>
        <w:tc>
          <w:tcPr>
            <w:tcW w:type="dxa" w:w="2340"/>
          </w:tcPr>
          <w:p>
            <w:r>
              <w:t>Network lookup, regulators, targets, complete perturbation (all 7 regulators)</w:t>
            </w:r>
          </w:p>
        </w:tc>
      </w:tr>
      <w:tr>
        <w:tc>
          <w:tcPr>
            <w:tcW w:type="dxa" w:w="2340"/>
          </w:tcPr>
          <w:p>
            <w:r>
              <w:t>Comprehensive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perturbation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perturbation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perturbation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Gene</w:t>
            </w:r>
          </w:p>
        </w:tc>
        <w:tc>
          <w:tcPr>
            <w:tcW w:type="dxa" w:w="1560"/>
          </w:tcPr>
          <w:p>
            <w:r>
              <w:rPr>
                <w:b/>
              </w:rPr>
              <w:t>Regulatory Role</w:t>
            </w:r>
          </w:p>
        </w:tc>
        <w:tc>
          <w:tcPr>
            <w:tcW w:type="dxa" w:w="1560"/>
          </w:tcPr>
          <w:p>
            <w:r>
              <w:rPr>
                <w:b/>
              </w:rPr>
              <w:t>Targets</w:t>
            </w:r>
          </w:p>
        </w:tc>
        <w:tc>
          <w:tcPr>
            <w:tcW w:type="dxa" w:w="1560"/>
          </w:tcPr>
          <w:p>
            <w:r>
              <w:rPr>
                <w:b/>
              </w:rPr>
              <w:t>Regulators</w:t>
            </w:r>
          </w:p>
        </w:tc>
        <w:tc>
          <w:tcPr>
            <w:tcW w:type="dxa" w:w="1560"/>
          </w:tcPr>
          <w:p>
            <w:r>
              <w:rPr>
                <w:b/>
              </w:rPr>
              <w:t>Biomarker Type</w:t>
            </w:r>
          </w:p>
        </w:tc>
        <w:tc>
          <w:tcPr>
            <w:tcW w:type="dxa" w:w="1560"/>
          </w:tcPr>
          <w:p>
            <w:r>
              <w:rPr>
                <w:b/>
              </w:rPr>
              <w:t>Top Candidate Regulator (PageRank)</w:t>
            </w:r>
          </w:p>
        </w:tc>
      </w:tr>
      <w:tr>
        <w:tc>
          <w:tcPr>
            <w:tcW w:type="dxa" w:w="1560"/>
          </w:tcPr>
          <w:p>
            <w:r>
              <w:t>MYC</w:t>
            </w:r>
          </w:p>
        </w:tc>
        <w:tc>
          <w:tcPr>
            <w:tcW w:type="dxa" w:w="1560"/>
          </w:tcPr>
          <w:p>
            <w:r>
              <w:t>Hub Regulator</w:t>
            </w:r>
          </w:p>
        </w:tc>
        <w:tc>
          <w:tcPr>
            <w:tcW w:type="dxa" w:w="1560"/>
          </w:tcPr>
          <w:p>
            <w:r>
              <w:t>427</w:t>
            </w:r>
          </w:p>
        </w:tc>
        <w:tc>
          <w:tcPr>
            <w:tcW w:type="dxa" w:w="1560"/>
          </w:tcPr>
          <w:p>
            <w:r>
              <w:t>25</w:t>
            </w:r>
          </w:p>
        </w:tc>
        <w:tc>
          <w:tcPr>
            <w:tcW w:type="dxa" w:w="1560"/>
          </w:tcPr>
          <w:p>
            <w:r>
              <w:t>Diagnostic</w:t>
            </w:r>
          </w:p>
        </w:tc>
        <w:tc>
          <w:tcPr>
            <w:tcW w:type="dxa" w:w="1560"/>
          </w:tcPr>
          <w:p>
            <w:r>
              <w:t>ID4 (0.622)</w:t>
            </w:r>
          </w:p>
        </w:tc>
      </w:tr>
      <w:tr>
        <w:tc>
          <w:tcPr>
            <w:tcW w:type="dxa" w:w="1560"/>
          </w:tcPr>
          <w:p>
            <w:r>
              <w:t>CTNNB1</w:t>
            </w:r>
          </w:p>
        </w:tc>
        <w:tc>
          <w:tcPr>
            <w:tcW w:type="dxa" w:w="1560"/>
          </w:tcPr>
          <w:p>
            <w:r>
              <w:t>Hub Regulator</w:t>
            </w:r>
          </w:p>
        </w:tc>
        <w:tc>
          <w:tcPr>
            <w:tcW w:type="dxa" w:w="1560"/>
          </w:tcPr>
          <w:p>
            <w:r>
              <w:t>310</w:t>
            </w:r>
          </w:p>
        </w:tc>
        <w:tc>
          <w:tcPr>
            <w:tcW w:type="dxa" w:w="1560"/>
          </w:tcPr>
          <w:p>
            <w:r>
              <w:t>18</w:t>
            </w:r>
          </w:p>
        </w:tc>
        <w:tc>
          <w:tcPr>
            <w:tcW w:type="dxa" w:w="1560"/>
          </w:tcPr>
          <w:p>
            <w:r>
              <w:t>Diagnostic</w:t>
            </w:r>
          </w:p>
        </w:tc>
        <w:tc>
          <w:tcPr>
            <w:tcW w:type="dxa" w:w="1560"/>
          </w:tcPr>
          <w:p>
            <w:r>
              <w:t>CHD2 (0.530)</w:t>
            </w:r>
          </w:p>
        </w:tc>
      </w:tr>
      <w:tr>
        <w:tc>
          <w:tcPr>
            <w:tcW w:type="dxa" w:w="1560"/>
          </w:tcPr>
          <w:p>
            <w:r>
              <w:t>CCND1</w:t>
            </w:r>
          </w:p>
        </w:tc>
        <w:tc>
          <w:tcPr>
            <w:tcW w:type="dxa" w:w="1560"/>
          </w:tcPr>
          <w:p>
            <w:r>
              <w:t>Heavily Regulated</w:t>
            </w:r>
          </w:p>
        </w:tc>
        <w:tc>
          <w:tcPr>
            <w:tcW w:type="dxa" w:w="1560"/>
          </w:tcPr>
          <w:p>
            <w:r>
              <w:t>0</w:t>
            </w:r>
          </w:p>
        </w:tc>
        <w:tc>
          <w:tcPr>
            <w:tcW w:type="dxa" w:w="1560"/>
          </w:tcPr>
          <w:p>
            <w:r>
              <w:t>42</w:t>
            </w:r>
          </w:p>
        </w:tc>
        <w:tc>
          <w:tcPr>
            <w:tcW w:type="dxa" w:w="1560"/>
          </w:tcPr>
          <w:p>
            <w:r>
              <w:t>Diagnostic</w:t>
            </w:r>
          </w:p>
        </w:tc>
        <w:tc>
          <w:tcPr>
            <w:tcW w:type="dxa" w:w="1560"/>
          </w:tcPr>
          <w:p>
            <w:r>
              <w:t>ZBTB20 (0.600)</w:t>
            </w:r>
          </w:p>
        </w:tc>
      </w:tr>
      <w:tr>
        <w:tc>
          <w:tcPr>
            <w:tcW w:type="dxa" w:w="1560"/>
          </w:tcPr>
          <w:p>
            <w:r>
              <w:t>TP53</w:t>
            </w:r>
          </w:p>
        </w:tc>
        <w:tc>
          <w:tcPr>
            <w:tcW w:type="dxa" w:w="1560"/>
          </w:tcPr>
          <w:p>
            <w:r>
              <w:t>Hub Regulator</w:t>
            </w:r>
          </w:p>
        </w:tc>
        <w:tc>
          <w:tcPr>
            <w:tcW w:type="dxa" w:w="1560"/>
          </w:tcPr>
          <w:p>
            <w:r>
              <w:t>163</w:t>
            </w:r>
          </w:p>
        </w:tc>
        <w:tc>
          <w:tcPr>
            <w:tcW w:type="dxa" w:w="1560"/>
          </w:tcPr>
          <w:p>
            <w:r>
              <w:t>7</w:t>
            </w:r>
          </w:p>
        </w:tc>
        <w:tc>
          <w:tcPr>
            <w:tcW w:type="dxa" w:w="1560"/>
          </w:tcPr>
          <w:p>
            <w:r>
              <w:t>Prognostic</w:t>
            </w:r>
          </w:p>
        </w:tc>
        <w:tc>
          <w:tcPr>
            <w:tcW w:type="dxa" w:w="1560"/>
          </w:tcPr>
          <w:p>
            <w:r>
              <w:t>WWTR1 (0.473)</w:t>
            </w:r>
          </w:p>
        </w:tc>
      </w:tr>
      <w:tr>
        <w:tc>
          <w:tcPr>
            <w:tcW w:type="dxa" w:w="1560"/>
          </w:tcPr>
          <w:p>
            <w:r>
              <w:t>KRAS</w:t>
            </w:r>
          </w:p>
        </w:tc>
        <w:tc>
          <w:tcPr>
            <w:tcW w:type="dxa" w:w="1560"/>
          </w:tcPr>
          <w:p>
            <w:r>
              <w:t>Heavily Regulated</w:t>
            </w:r>
          </w:p>
        </w:tc>
        <w:tc>
          <w:tcPr>
            <w:tcW w:type="dxa" w:w="1560"/>
          </w:tcPr>
          <w:p>
            <w:r>
              <w:t>0</w:t>
            </w:r>
          </w:p>
        </w:tc>
        <w:tc>
          <w:tcPr>
            <w:tcW w:type="dxa" w:w="1560"/>
          </w:tcPr>
          <w:p>
            <w:r>
              <w:t>7</w:t>
            </w:r>
          </w:p>
        </w:tc>
        <w:tc>
          <w:tcPr>
            <w:tcW w:type="dxa" w:w="1560"/>
          </w:tcPr>
          <w:p>
            <w:r>
              <w:t>Predictive</w:t>
            </w:r>
          </w:p>
        </w:tc>
        <w:tc>
          <w:tcPr>
            <w:tcW w:type="dxa" w:w="1560"/>
          </w:tcPr>
          <w:p>
            <w:r>
              <w:t>GPBP1 (0.609)</w:t>
            </w:r>
          </w:p>
        </w:tc>
      </w:tr>
    </w:tbl>
    <w:p/>
    <w:p>
      <w:r>
        <w:t>Perturbation analysis performed for all five genes - all upstream regulators analyzed (25, 18, 42, 7, and 7 regulators respectively, total of 99 regulators). The system ranks candidate targets using network centrality: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p>
      <w:pPr>
        <w:pStyle w:val="Heading4"/>
        <w:keepNext/>
      </w:pPr>
      <w:r>
        <w:t>Biomarker Classification and Validation</w:t>
      </w:r>
    </w:p>
    <w:p/>
    <w:p>
      <w:r>
        <w:t>RegNetAgents automatically classified biomarker types based on regulatory architecture and domain agent analysis:</w:t>
      </w:r>
    </w:p>
    <w:p/>
    <w:p>
      <w:r>
        <w:t>Diagnostic Biomarkers (MYC, CTNNB1, CCND1):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(23,24); CTNNB1 mutations/dysregulation occur in 40-80% of CRCs via APC loss and Wnt activation (25,26); CCND1 overexpression occurs in 30-60% of CRCs and drives G1/S transition (27).</w:t>
      </w:r>
    </w:p>
    <w:p/>
    <w:p>
      <w:r>
        <w:t>Prognostic Biomarker (TP53): Hub regulator with high network centrality and enrichment in TP53-regulation pathways. TP53 status predicts patient outcomes and treatment response. Literature validation: TP53 mutations occur in 50-70% of CRCs and associate with advanced stage, metastasis, and poor survival (28,29).</w:t>
      </w:r>
    </w:p>
    <w:p/>
    <w:p>
      <w:r>
        <w:t>Predictive Biomarker (KRAS): Target gene with moderate clinical actionability. KRAS status predicts response to specific therapies (anti-EGFR antibodies). Literature validation: KRAS mutations occur in 40-45% of CRCs and confer resistance to cetuximab/panitumumab (30,31).</w:t>
      </w:r>
    </w:p>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
      <w:pPr>
        <w:pStyle w:val="Heading3"/>
        <w:keepNext/>
      </w:pPr>
      <w:r>
        <w:t>Perturbation Analysis: TP53 Candidate Regulator Prioritization</w:t>
      </w:r>
    </w:p>
    <w:p/>
    <w:p>
      <w:r>
        <w:t>To illustrate framework capabilities for hypothesis generation, we performed automated perturbation analysis on TP53, which has 7 upstream regulators in epithelial cells according to the ARACNe-inferred network. Table 3 shows all 7 regulators (complete perturbation analysis), not a filtered subset. The analysis ranks all regulators using network centrality metrics computed from network topology (Table 3, Figure 3). These rankings serve as hypotheses for experimental validation, not predictions of therapeutic efficacy.</w:t>
      </w:r>
    </w:p>
    <w:p/>
    <w:p>
      <w:pPr>
        <w:keepNext/>
      </w:pPr>
      <w:r>
        <w:t>Table 3. TP53 Perturbation Analysis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r>
        <w:br w:type="page"/>
      </w:r>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Biomarker classification accuracy: All five genes were correctly classified (diagnostic, prognostic, predictive) with complete agreement with published clinical literature across this limited sample (n=5), despite the framework having no prior knowledge of these classifications.</w:t>
      </w:r>
    </w:p>
    <w:p/>
    <w:p>
      <w:r>
        <w:t>2. Known regulatory relationships: TP53 perturbation analysis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3. Pathway-network concordance: Pathway enrichment independently identified Hippo signaling (FDR = 0.020), confirming biological coherence between network structure and pathway-level regulation.</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perturbation analysis.</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Perturbation Analysis: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Perturbation analysis (7 regulators)</w:t>
            </w:r>
          </w:p>
        </w:tc>
        <w:tc>
          <w:tcPr>
            <w:tcW w:type="dxa" w:w="2340"/>
          </w:tcPr>
          <w:p>
            <w:r>
              <w:t>2-4 hours (literature curation per regulator)</w:t>
            </w:r>
          </w:p>
        </w:tc>
        <w:tc>
          <w:tcPr>
            <w:tcW w:type="dxa" w:w="2340"/>
          </w:tcPr>
          <w:p>
            <w:r>
              <w:t>0.60 sec (automated)</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(perturbation analysis,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 and Considerations</w:t>
      </w:r>
    </w:p>
    <w:p/>
    <w:p>
      <w:r>
        <w:t>Several limitations warrant consideration:</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r>
        <w:t>---</w:t>
      </w:r>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keepNext/>
      </w:pPr>
      <w:r>
        <w:t>COMPETING INTERESTS</w:t>
      </w:r>
    </w:p>
    <w:p/>
    <w:p>
      <w:r>
        <w:t>The authors declare no competing interests.</w:t>
      </w:r>
    </w:p>
    <w:p/>
    <w:p>
      <w:r>
        <w:t>---</w:t>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r>
        <w:t>---</w:t>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r>
        <w:t>---</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p>
      <w:r>
        <w:t>Example JSON Output: The framework returns structured JSON responses. Example for TP53 analysis (abbreviated):</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