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t>RegNetAgents: A Multi-Agent AI Framework for Automated Gene Regulatory Network Analysis and Therapeutic Target Prioritization</w:t>
      </w:r>
    </w:p>
    <w:p/>
    <w:p>
      <w:r>
        <w:t>Running Title: Multi-Agent Gene Regulatory Network Analysis</w:t>
      </w:r>
    </w:p>
    <w:p/>
    <w:p/>
    <w:p/>
    <w:p>
      <w:pPr>
        <w:pStyle w:val="Heading2"/>
        <w:keepNext/>
      </w:pPr>
      <w:r>
        <w:t>Authors</w:t>
      </w:r>
    </w:p>
    <w:p>
      <w:r>
        <w:t>Jose A. Bird, PhD</w:t>
      </w:r>
    </w:p>
    <w:p>
      <w:r>
        <w:t>Bird AI Solutions</w:t>
      </w:r>
    </w:p>
    <w:p>
      <w:r>
        <w:t>jbird@birdaisolutions.com</w:t>
      </w:r>
    </w:p>
    <w:p/>
    <w:p/>
    <w:p/>
    <w:p>
      <w:pPr>
        <w:pStyle w:val="Heading2"/>
        <w:keepNext/>
      </w:pPr>
      <w:r>
        <w:t>ABSTRACT</w:t>
      </w:r>
    </w:p>
    <w:p/>
    <w:p>
      <w:r>
        <w:t>Gene regulatory network analysis is essential for understanding disease mechanisms, identifying biomarkers, and prioritizing therapeutic targets. Traditional workflows require manual effort across multiple databases, limiting scalability. We present RegNetAgents, an LLM-powered multi-agent framework that demonstrates automated gene regulatory network analysis through conversational interaction. This system is designed as a hypothesis generation tool to assist researchers, not as a replacement for experimental validation. The framework integrates network modeling, therapeutic target ranking, pathway enrichment, and multi-domain interpretation into a unified conversational interface accessible without programming expertise.</w:t>
      </w:r>
    </w:p>
    <w:p/>
    <w:p>
      <w:r>
        <w:t>Built on ARACNe networks from 500,000+ single cells across 10 cell types, the framework deploys four specialized agents in parallel with rule-based fallback. Therapeutic target prioritization ranks candidates using network centrality metrics (PageRank, degree centrality).</w:t>
      </w:r>
    </w:p>
    <w:p/>
    <w:p>
      <w:r>
        <w:t>In a five-gene colorectal cancer case study (MYC, CTNNB1, CCND1, TP53, KRAS), the framework characterizes regulatory architectures (hub regulators vs. heavily regulated genes) that align with known biological roles. For TP53, top-ranked upstream regulators include literature-supported interactors (WWTR1, YAP1, CHD4) identified by network topology, while additional high-ranking candidates (RBPMS, PRRX2, THRA, IKZF2) represent novel hypotheses for experimental validation.</w:t>
      </w:r>
    </w:p>
    <w:p/>
    <w:p>
      <w:r>
        <w:t>Analysis of 99 regulators across 5 genes completed in 15-62 seconds (vs. 2-4 hours manual workflows), representing orders of magnitude speedup. This five-gene demonstration establishes proof-of-concept for recapitulating literature-confirmed patterns and generating testable hypotheses. RegNetAgents transforms labor-intensive analysis into second-scale automated workflows accessible to experimental biologists. This work was developed with assistance from AI coding tools (Claude Code), demonstrating how AI-assisted development can democratize computational biology research and enable researchers from diverse backgrounds to implement sophisticated analytical frameworks.</w:t>
      </w:r>
    </w:p>
    <w:p/>
    <w:p>
      <w:r>
        <w:t>Keywords: gene regulatory networks, single-cell RNA-seq, multi-agent systems, workflow orchestration, hypothesis generation, biomarker discovery, therapeutic target identification, network centrality, PageRank, LangGraph, Model Context Protocol</w:t>
      </w:r>
    </w:p>
    <w:p/>
    <w:p/>
    <w:p/>
    <w:p>
      <w:pPr>
        <w:pStyle w:val="Heading2"/>
        <w:keepNext/>
      </w:pPr>
      <w:r>
        <w:t>INTRODUCTION</w:t>
      </w:r>
    </w:p>
    <w:p/>
    <w:p>
      <w:pPr>
        <w:pStyle w:val="Heading3"/>
        <w:keepNext/>
      </w:pPr>
      <w:r>
        <w:t>Background</w:t>
      </w:r>
    </w:p>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p>
      <w:r>
        <w:t>These workflow bottlenecks—manual integration, limited scalability, and accessibility barriers—align precisely with challenges that recent AI advances are well-positioned to address.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
      <w:pPr>
        <w:pStyle w:val="Heading3"/>
        <w:keepNext/>
      </w:pPr>
      <w:r>
        <w:t>Regulatory Network Data Sources</w:t>
      </w:r>
    </w:p>
    <w:p/>
    <w:p>
      <w:r>
        <w:t>Cell-type-specific regulatory networks were obtained as pre-computed ARACNe networks prepared and released by the GREmLN team (14). The GREmLN team (CZ Biohub NY / Columbia University) processed single-cell RNA-seq data from the CELLxGENE Data Portal (15)—comprising 11 million scRNA-seq profiles across 162 cell types from Census release 2024-07-01—using the ARACNe (Algorithm for the Reconstruction of Accurate Cellular Networks) algorithm (16,17) and publicly released pre-computed networks for 10 cell types via their Quickstart Tutorial. RegNetAgents leverages these pre-computed ARACNe networks as input data for multi-agent network analysis, independent of the GREmLN foundation model itself.</w:t>
      </w:r>
    </w:p>
    <w:p/>
    <w:p>
      <w:r>
        <w:t>ARACNe Network Inference: ARACNe-AP (Adaptive Partitioning) uses mutual information to identify direct regulatory interactions while eliminating indirect associations through data processing inequality (DPI).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p>
      <w:r>
        <w:t>Network Processing: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
      <w:pPr>
        <w:pStyle w:val="Heading3"/>
        <w:keepNext/>
      </w:pPr>
      <w:r>
        <w:t>Our Contribution</w:t>
      </w:r>
    </w:p>
    <w:p/>
    <w:p>
      <w:r>
        <w:t>We present RegNetAgents, a multi-agent AI framework that streamlines gene regulatory network analysis and makes sophisticated computational methods accessible to experimental biologists. The system integrates network analysis, pathway enrichment, network-based target ranking, and multi-domain interpretation into a unified, conversational interface. Key contributions include: (1) Workflow automation: parallel multi-agent execution enabling second-scale analysis that replaces multi-hour manual workflows, (2) Hypothesis generation: automated therapeutic target prioritization that ranks regulators by network centrality to identify and prioritize candidate therapeutic targets for experimental validation, (3) Multi-domain integration: four specialized domain agents providing cancer, drug development, clinical, and systems biology perspectives in a single query, (4) Accessibility: natural language interface via Model Context Protocol enabling conversational access without programming expertise, and (5) Demonstration: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
      <w:pPr>
        <w:pStyle w:val="Heading3"/>
        <w:keepNext/>
      </w:pPr>
      <w:r>
        <w:t>Validation Strategy</w:t>
      </w:r>
    </w:p>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
    <w:p/>
    <w:p>
      <w:pPr>
        <w:pStyle w:val="Heading2"/>
        <w:keepNext/>
      </w:pPr>
      <w:r>
        <w:t>METHODS</w:t>
      </w:r>
    </w:p>
    <w:p/>
    <w:p>
      <w:pPr>
        <w:pStyle w:val="Heading3"/>
        <w:keepNext/>
      </w:pPr>
      <w:r>
        <w:t>Architecture Overview</w:t>
      </w:r>
    </w:p>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therapeutic target prioritization.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
      <w:pPr>
        <w:pStyle w:val="Heading3"/>
        <w:keepNext/>
      </w:pPr>
      <w:r>
        <w:t>Data Sources and Network Construction</w:t>
      </w:r>
    </w:p>
    <w:p/>
    <w:p>
      <w:pPr>
        <w:pStyle w:val="Heading4"/>
        <w:keepNext/>
      </w:pPr>
      <w:r>
        <w:t>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This gene selection restricts network coverage to genes with high expression variability across cells; genes with constitutive expression patterns or low variance will not appear in regulatory networks, even if biologically important. ARACNe-AP parameters: mutual information estimation via adaptive partitioning, data processing inequality (DPI) tolerance of 1.0 to eliminate indirect edges, p-value threshold of 1e-8 for statistical significance, and 100 bootstrap iterations for edge robustness assessment. Important caveat: ARACNe edges represent statistical associations (mutual information) derived from gene expression correlations; regulator → target directionality is inferred from network topology but not guaranteed without experimental validation. The framework uses these edges to identify candidate regulatory relationships for hypothesis generation, not to assert causal directionality.</w:t>
      </w:r>
    </w:p>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p>
      <w:pPr>
        <w:pStyle w:val="Heading4"/>
        <w:keepNext/>
      </w:pPr>
      <w:r>
        <w:t>Pathway Annotation</w:t>
      </w:r>
    </w:p>
    <w:p>
      <w:r>
        <w:t>Pathway enrichment analysis uses the Reactome Pathway Database (https://reactome.org), a manually curated, peer-reviewed database of human biological pathways (18).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p>
      <w:r>
        <w:t>Rationale for Top 10 Regulator/Target Selection:</w:t>
      </w:r>
    </w:p>
    <w:p>
      <w:r>
        <w:t>For pathway enrichment, gene lists are constructed from the query gene plus its top 10 upstream regulators and top 10 downstream targets (ranked by network centrality). This focused approach is critical for balancing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p>
      <w:pPr>
        <w:pStyle w:val="Heading4"/>
        <w:keepNext/>
      </w:pPr>
      <w:r>
        <w:t>Gene Annotation</w:t>
      </w:r>
    </w:p>
    <w:p>
      <w:r>
        <w:t>Gene-level annotations including full names and functional descriptions are retrieved from local NCBI and UniProt databases. Gene identifier conversion between gene symbols and Ensembl IDs uses the Ensembl REST API (https://rest.ensembl.org) (19) with local caching for performance optimization.</w:t>
      </w:r>
    </w:p>
    <w:p/>
    <w:p>
      <w:pPr>
        <w:pStyle w:val="Heading3"/>
        <w:keepNext/>
      </w:pPr>
      <w:r>
        <w:t>Multi-Agent Workflow</w:t>
      </w:r>
    </w:p>
    <w:p/>
    <w:p>
      <w:pPr>
        <w:pStyle w:val="Heading4"/>
        <w:keepNext/>
      </w:pPr>
      <w:r>
        <w:t>Network Analysis Agent</w:t>
      </w:r>
    </w:p>
    <w:p>
      <w:r>
        <w:t>The network modeling agent performs five core functions: (1) gene identifier resolution (symbol to Ensembl ID conversion via cached mappings), (2) network lookup to retrieve all regulatory edges involving the query gene, (3) regulator identification (genes with edges pointing to the query gene), (4) target identification (genes the query gene regulates), and (5) regulatory role classification based on network topology.</w:t>
      </w:r>
    </w:p>
    <w:p/>
    <w:p>
      <w:r>
        <w:t>Regulatory roles are assigned algorithmically based on network topology:</w:t>
      </w:r>
    </w:p>
    <w:p>
      <w:pPr>
        <w:pStyle w:val="ListBullet"/>
      </w:pPr>
      <w:r>
        <w:t>Hub regulator: &gt;20 downstream targets (high regulatory influence)</w:t>
      </w:r>
    </w:p>
    <w:p>
      <w:pPr>
        <w:pStyle w:val="ListBullet"/>
      </w:pPr>
      <w:r>
        <w:t>Heavily regulated: &gt;15 upstream regulators and ≤20 targets (complex regulatory control)</w:t>
      </w:r>
    </w:p>
    <w:p>
      <w:pPr>
        <w:pStyle w:val="ListBullet"/>
      </w:pPr>
      <w:r>
        <w:t>Intermediate node: &gt;5 targets AND &gt;5 regulators (balanced regulatory role)</w:t>
      </w:r>
    </w:p>
    <w:p>
      <w:pPr>
        <w:pStyle w:val="ListBullet"/>
      </w:pPr>
      <w:r>
        <w:t>Regulator: 1-20 targets not meeting hub or intermediate criteria (modest regulatory activity)</w:t>
      </w:r>
    </w:p>
    <w:p>
      <w:pPr>
        <w:pStyle w:val="ListBullet"/>
      </w:pPr>
      <w:r>
        <w:t>Weakly regulated: 0 targets and ≤15 regulators (simple endpoint)</w:t>
      </w:r>
    </w:p>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p>
      <w:pPr>
        <w:pStyle w:val="Heading4"/>
        <w:keepNext/>
      </w:pPr>
      <w:r>
        <w:t>Therapeutic Target Prioritization Agent</w:t>
      </w:r>
    </w:p>
    <w:p>
      <w:r>
        <w:t>For genes with five or more upstream regulators, we perform automated therapeutic target prioritization to identify potential drug targets. This analysis ranks upstream regulators using network centrality metrics computed from network topology.</w:t>
      </w:r>
    </w:p>
    <w:p/>
    <w:p>
      <w:r>
        <w:br w:type="page"/>
      </w:r>
    </w:p>
    <w:p/>
    <w:p>
      <w:r>
        <w:t>Network Centrality Metrics for Therapeutic Target Ranking:</w:t>
      </w:r>
    </w:p>
    <w:p>
      <w:r>
        <w:t>We calculate three core centrality measures for each regulator R using NetworkX (20) implementations:</w:t>
      </w:r>
    </w:p>
    <w:p/>
    <w:p>
      <w:r>
        <w:t>Degree Centrality:</w:t>
      </w:r>
    </w:p>
    <w:p>
      <w:r>
        <w:t>$C_D(R) = \frac{deg(R)}{N - 1}$</w:t>
      </w:r>
    </w:p>
    <w:p/>
    <w:p>
      <w:r>
        <w:t>Where $deg(R)$ is the total number of connections (in-degree + out-degree) and $N$ is the total number of nodes in the network. Measures overall network connectivity.</w:t>
      </w:r>
    </w:p>
    <w:p/>
    <w:p>
      <w:r>
        <w:t>Out-Degree Centrality (Primary Hub Metric):</w:t>
      </w:r>
    </w:p>
    <w:p>
      <w:r>
        <w:t>$C{out}(R) = \frac{deg{out}(R)}{N - 1}$</w:t>
      </w:r>
    </w:p>
    <w:p/>
    <w:p>
      <w:r>
        <w:t>Where $deg_{out}(R)$ is the number of downstream targets regulated by R. This metric identifies hub regulators with broad downstream effects and estimates potential off-target impacts of therapeutic intervention.</w:t>
      </w:r>
    </w:p>
    <w:p/>
    <w:p>
      <w:r>
        <w:t>PageRank (Primary Ranking Metric):</w:t>
      </w:r>
    </w:p>
    <w:p>
      <w:r>
        <w:t>$PR(R) = \frac{(1-\alpha)}{N} + \alpha \times \sum_{v \in M(R)} \frac{PR(v)}{L(v)}$</w:t>
      </w:r>
    </w:p>
    <w:p/>
    <w:p>
      <w:r>
        <w:t>Where $M(R)$ is the set of nodes with edges pointing to R, $L(v)$ is the out-degree of node v (number of outbound edges), $\alpha = 0.85$ is the damping factor, and $N$ is the total number of nodes in the network. Directionality: In our regulatory networks, edges represent regulator → target relationships inferred by ARACNe. For a given target gene, $M(R)$ comprises its upstream regulators—genes with regulatory edges directed toward R. PageRank then measures each regulator's importance by considering not only direct connectivity but also the PageRank scores of nodes that point to that regulator, capturing influence propagation through the regulatory hierarchy. PageRank values are normalized by dividing by the maximum PageRank in the network to ensure cross-network interpretability (range: 0-1). This is Google's algorithm adapted for biological networks, measuring connection quality rather than quantity (21).</w:t>
      </w:r>
    </w:p>
    <w:p/>
    <w:p>
      <w:r>
        <w:t>Ranking and Interpretation:</w:t>
      </w:r>
    </w:p>
    <w:p>
      <w:r>
        <w:t>Regulators are ranked by PageRank (primary), as this metric was identified as the best predictor of successful drug targets in protein interaction networks (22).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(22).</w:t>
      </w:r>
    </w:p>
    <w:p/>
    <w:p>
      <w:r>
        <w:t>For each regulator, we report:</w:t>
      </w:r>
    </w:p>
    <w:p>
      <w:pPr>
        <w:pStyle w:val="ListBullet"/>
      </w:pPr>
      <w:r>
        <w:t>Network centrality metrics (PageRank, degree centrality, out-degree centrality)</w:t>
      </w:r>
    </w:p>
    <w:p>
      <w:pPr>
        <w:pStyle w:val="ListBullet"/>
      </w:pPr>
      <w:r>
        <w:t>Number of downstream targets (off-target effect estimate)</w:t>
      </w:r>
    </w:p>
    <w:p>
      <w:pPr>
        <w:pStyle w:val="ListBullet"/>
      </w:pPr>
      <w:r>
        <w:t>Cascade overlap count (shared regulatory targets with target gene)</w:t>
      </w:r>
    </w:p>
    <w:p>
      <w:pPr>
        <w:pStyle w:val="ListBullet"/>
      </w:pPr>
      <w:r>
        <w:t>Top 5 affected cascades (genes regulated by both the inhibited regulator and the target gene)</w:t>
      </w:r>
    </w:p>
    <w:p/>
    <w:p>
      <w:r>
        <w:t>Therapeutic Interpretation:</w:t>
      </w:r>
    </w:p>
    <w:p>
      <w:r>
        <w:t>High PageRank (&gt;0.30, exploratory threshold) combined with hub regulator status (&gt;200 targets) indicates strong therapeutic potential but requires consideration of potential off-target effects. Assuming equal direct regulatory input, each of $N$ regulators would contribute $1/N$ to target gene regulation; centrality metrics (PageRank, degree centrality) differentiate therapeutic potential by weighting regulators based on network position and influence beyond this baseline assumption.</w:t>
      </w:r>
    </w:p>
    <w:p/>
    <w:p>
      <w:r>
        <w:t>Therapeutic Target Prioritization Limitations:</w:t>
      </w:r>
    </w:p>
    <w:p/>
    <w:p>
      <w:r>
        <w:t>Our therapeutic target prioritization makes several simplifying assumptions that warrant consideration:</w:t>
      </w:r>
    </w:p>
    <w:p/>
    <w:p>
      <w:r>
        <w:t>1. Topology-based ranking: Analysis ranks regulators based on network centrality metrics (PageRank, degree centrality) rather than predicting quantitative gene expression changes. This approach identifies regulators for experimental validation but does not model dynamic regulatory responses or predict expression fold-changes. Cascade overlap (shared downstream targets) is reported as supplementary information but does not contribute to ranking.</w:t>
      </w:r>
    </w:p>
    <w:p/>
    <w:p>
      <w:r>
        <w:t>2. Additive regulatory effects: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p>
      <w:r>
        <w:t>3. Chromatin context: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p>
      <w:r>
        <w:t>4. Static network assumption: Networks represent time-averaged regulatory relationships and do not capture dynamic rewiring during development, differentiation, or disease progression. Regulator importance may vary across cellular states not represented in the averaged network.</w:t>
      </w:r>
    </w:p>
    <w:p/>
    <w:p>
      <w:r>
        <w:t>Despite these limitations, topology-based therapeutic target prioritization can identify literature-supported functional interactors (as demonstrated with TP53 Hippo pathway effectors) and provides a principled ranking for experimental validation. Results should be interpreted as hypotheses for testing, not predictions of molecular outcomes. Experimental validation remains essential to confirm regulatory relationships and quantify expression changes.</w:t>
      </w:r>
    </w:p>
    <w:p/>
    <w:p>
      <w:r>
        <w:br w:type="page"/>
      </w:r>
    </w:p>
    <w:p/>
    <w:p>
      <w:pPr>
        <w:pStyle w:val="Heading4"/>
        <w:keepNext/>
      </w:pPr>
      <w:r>
        <w:t>Pathway Enrichment Agent</w:t>
      </w:r>
    </w:p>
    <w:p>
      <w:r>
        <w:t>The pathway agent constructs a gene set consisting of the query gene, its top 10 upstream regulators (ranked by network centrality), and its top 10 downstream targets (approximately 21 genes total). This focused gene set is submitted to Reactome's over-representation analysis endpoint, which performs hypergeometric tests against all curated pathways in the database.</w:t>
      </w:r>
    </w:p>
    <w:p/>
    <w:p>
      <w:r>
        <w:t>Reactome returns enriched pathways ranked by statistical significance, including:</w:t>
      </w:r>
    </w:p>
    <w:p>
      <w:pPr>
        <w:pStyle w:val="ListBullet"/>
      </w:pPr>
      <w:r>
        <w:t>Pathway ID and name</w:t>
      </w:r>
    </w:p>
    <w:p>
      <w:pPr>
        <w:pStyle w:val="ListBullet"/>
      </w:pPr>
      <w:r>
        <w:t>P-value (uncorrected)</w:t>
      </w:r>
    </w:p>
    <w:p>
      <w:pPr>
        <w:pStyle w:val="ListBullet"/>
      </w:pPr>
      <w:r>
        <w:t>False discovery rate (FDR, Benjamini-Hochberg correction)</w:t>
      </w:r>
    </w:p>
    <w:p>
      <w:pPr>
        <w:pStyle w:val="ListBullet"/>
      </w:pPr>
      <w:r>
        <w:t>Number of query genes in pathway</w:t>
      </w:r>
    </w:p>
    <w:p>
      <w:pPr>
        <w:pStyle w:val="ListBullet"/>
      </w:pPr>
      <w:r>
        <w:t>Total pathway size</w:t>
      </w:r>
    </w:p>
    <w:p>
      <w:pPr>
        <w:pStyle w:val="ListBullet"/>
      </w:pPr>
      <w:r>
        <w:t>Species (Homo sapiens)</w:t>
      </w:r>
    </w:p>
    <w:p/>
    <w:p>
      <w:r>
        <w:t>We report all pathways with FDR &lt; 0.05 as significantly enriched. For queries returning fewer than 3 enriched pathways at FDR &lt; 0.05, we relax to p &lt; 0.05 uncorrected to provide exploratory pathway associations.</w:t>
      </w:r>
    </w:p>
    <w:p/>
    <w:p>
      <w:pPr>
        <w:pStyle w:val="Heading4"/>
        <w:keepNext/>
      </w:pPr>
      <w:r>
        <w:t>Domain Analysis Agents</w:t>
      </w:r>
    </w:p>
    <w:p>
      <w:r>
        <w:t>Four domain-specific agents execute in parallel, each providing specialized biological interpretation. Agents are LLM-powered by default, using local language model inference (Ollama with llama3.1:8b) to generate scientific insights with rationales. The system implements automatic graceful fallback to deterministic rule-based heuristics if LLM is unavailable, ensuring the framework always produces results regardless of LLM server status. This dual-mode architecture guarantees reliability in production environments while providing enhanced interpretability when LLM resources are available. Each analysis result includes an llm_powered: true/false flag for transparency.</w:t>
      </w:r>
    </w:p>
    <w:p/>
    <w:p>
      <w:r>
        <w:t>LLM-Powered Mode (Primary):</w:t>
      </w:r>
    </w:p>
    <w:p>
      <w:r>
        <w:t>Each domain agent receives structured prompts containing:</w:t>
      </w:r>
    </w:p>
    <w:p>
      <w:pPr>
        <w:pStyle w:val="ListBullet"/>
      </w:pPr>
      <w:r>
        <w:t>Gene functional descriptions from NCBI/UniProt databases (providing validated biological context)</w:t>
      </w:r>
    </w:p>
    <w:p>
      <w:pPr>
        <w:pStyle w:val="ListBullet"/>
      </w:pPr>
      <w:r>
        <w:t>Gene regulatory context (role, upstream regulators, downstream targets, PageRank)</w:t>
      </w:r>
    </w:p>
    <w:p>
      <w:pPr>
        <w:pStyle w:val="ListBullet"/>
      </w:pPr>
      <w:r>
        <w:t>Pathway enrichment results (when available)</w:t>
      </w:r>
    </w:p>
    <w:p>
      <w:pPr>
        <w:pStyle w:val="ListBullet"/>
      </w:pPr>
      <w:r>
        <w:t>Cross-cell-type expression patterns (for clinical agent)</w:t>
      </w:r>
    </w:p>
    <w:p/>
    <w:p>
      <w:r>
        <w:t>Complete prompt templates for all four domain agents are provided in Supplementary Table S1, enabling full reproducibility of LLM analyses. LLM output variability is controlled using temperature=0.3 for all Ollama inference, while network centrality metrics remain fully deterministic, ensuring consistency in quantitative rankings across runs.</w:t>
      </w:r>
    </w:p>
    <w:p/>
    <w:p>
      <w:r>
        <w:t>Agents return JSON-structured insights with:</w:t>
      </w:r>
    </w:p>
    <w:p>
      <w:pPr>
        <w:pStyle w:val="ListBullet"/>
      </w:pPr>
      <w:r>
        <w:t>Domain-specific classifications (e.g., oncogenic potential: high/moderate/low, intervention strategy: inhibition/activation)</w:t>
      </w:r>
    </w:p>
    <w:p>
      <w:pPr>
        <w:pStyle w:val="ListBullet"/>
      </w:pPr>
      <w:r>
        <w:t>Scientific rationales explaining each classification</w:t>
      </w:r>
    </w:p>
    <w:p>
      <w:pPr>
        <w:pStyle w:val="ListBullet"/>
      </w:pPr>
      <w:r>
        <w:t>1-2 sentence summaries for integration</w:t>
      </w:r>
    </w:p>
    <w:p/>
    <w:p>
      <w:r>
        <w:t>LLM prompts request specific JSON formats with predefined keys. Response parsing includes validation, missing key detection with placeholder insertion, and classification verification. Retry logic (2 attempts) handles transient failures.</w:t>
      </w:r>
    </w:p>
    <w:p/>
    <w:p>
      <w:r>
        <w:t>Rule-Based Fallback (Guaranteed Reliability):</w:t>
      </w:r>
    </w:p>
    <w:p>
      <w:r>
        <w:t>If LLM is unavailable or fails, agents automatically switch to fast deterministic heuristic algorithms that classify genes based on network topology. This fallback mode ensures 100% uptime and consistent results across repeated runs, providing fully deterministic classifications without external dependencies:</w:t>
      </w:r>
    </w:p>
    <w:p/>
    <w:p>
      <w:r>
        <w:t>Cancer Biology Agent: Classifies oncogenic potential based on network centrality (&gt;50 targets = high, &gt;20 = moderate, &lt;20 = low), tumor suppressor likelihood (heavily regulated genes with &gt;10 regulators = high), and biomarker potential (diagnostic for heavily regulated genes, prognostic for hub regulators, predictive based on regulatory architecture). Classifications are heuristics derived from network position and regulatory role.</w:t>
      </w:r>
    </w:p>
    <w:p/>
    <w:p>
      <w:r>
        <w:t>Drug Development Agent: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p>
      <w:r>
        <w:t>Clinical Relevance Agent: Classifies biomarker utility (diagnostic, prognostic, predictive, or therapeutic) based on regulatory architecture and gene function. Assesses tissue specificity from cross-cell-type regulatory patterns and provides disease association estimates based on network position.</w:t>
      </w:r>
    </w:p>
    <w:p/>
    <w:p>
      <w:r>
        <w:t>Systems Biology Agent: Interprets network centrality metrics (PageRank, out-degree, in-degree), classifies regulatory hierarchy position (hub/intermediate/heavily-regulated), and estimates regulatory influence scope (system-wide for hubs, localized for heavily regulated genes) based on network topology.</w:t>
      </w:r>
    </w:p>
    <w:p/>
    <w:p>
      <w:r>
        <w:t>Classification Rationale: The framework operates in two modes with different classification logic:</w:t>
      </w:r>
    </w:p>
    <w:p/>
    <w:p>
      <w:r>
        <w:t>Rule-Based Mode uses fixed network topology thresholds (applies ONLY to rule-based mode, NOT LLM mode): Cancer Biology Agent: Oncogenic potential (&gt;20 targets = high, &gt;5 = moderate, ≤5 = low), tumor suppressor likelihood (&gt;15 regulators = high, &gt;5 = moderate, ≤5 = low). Drug Development Agent: Intervention strategy (&gt;15 targets = inhibition candidate, &gt;10 regulators = activation candidate), development complexity (&gt;20 targets = high off-target risk, &gt;5 = moderate, ≤5 = low). Clinical Relevance Agent: Biomarker utility (heavilyregulated role = diagnostic, hubregulator role = prognostic, other roles = predictive); disease association likelihood (&gt;15 regulators = high, &gt;5 = moderate, ≤5 = low), clinical actionability (&gt;10 regulators + hub/heavily-regulated role = high). These thresholds are exploratory heuristics chosen for demonstration purposes and have not been systematically validated against benchmark datasets (e.g., COSMIC Cancer Gene Census, DGIdb).</w:t>
      </w:r>
    </w:p>
    <w:p/>
    <w:p>
      <w:r>
        <w:t>LLM-Powered Mode does not use these fixed thresholds. Instead, classifications are generated by the language model (llama3.1:8b via Ollama) based on gene function descriptions (from NCBI/UniProt), network topology context (regulatory_role, num_regulators, num_targets), and tissue distribution patterns. The LLM can provide nuanced classifications with scientific rationales that go beyond simple threshold rules, including category options not available in rule-based mode (e.g., "therapeutic" biomarker classification).</w:t>
      </w:r>
    </w:p>
    <w:p/>
    <w:p>
      <w:r>
        <w:t>Network centrality metrics (PageRank, degree centrality) are computed identically in both modes using deterministic algorithms and remain the primary validated quantitative outputs, with regulator rankings confirmed against experimental literature.</w:t>
      </w:r>
    </w:p>
    <w:p/>
    <w:p>
      <w:r>
        <w:t>Performance: LLM mode adds ~10-12 seconds per gene (4 agents in parallel, ~2.5-3s each) compared to rule-based mode. For 5-gene analysis: 15.49 seconds (rule-based) vs ~62 seconds (LLM). Both modes remain orders of magnitude faster than manual literature review (hours to days).</w:t>
      </w:r>
    </w:p>
    <w:p/>
    <w:p>
      <w:r>
        <w:t>LLM Reproducibility: The framework has two distinct components with different reproducibility characteristics. Quantitative network metrics (regulator rankings, PageRank scores, degree centrality) are always computed deterministically using algorithmic methods and are fully reproducible across all runs. Domain-specific biological interpretations are generated by four specialized agents (Cancer Biology, Drug Development, Clinical Relevance, Systems Biology) that can operate in LLM-powered mode or rule-based fallback mode. When using LLM-powered agents, outputs exhibit variability across runs due to temperature-based sampling (temperature = 0.3 for llama3.1:8b). Core classifications (oncogenic potential, intervention strategies) remain consistent across runs, but specific wording in rationales may vary. Rule-based fallback mode provides identical results on repeated execution. JSON structure validation ensures all required fields are present regardless of LLM output variability.</w:t>
      </w:r>
    </w:p>
    <w:p/>
    <w:p>
      <w:r>
        <w:t>Domain agents operate independently and can be extended or replaced without affecting other workflow components.</w:t>
      </w:r>
    </w:p>
    <w:p/>
    <w:p>
      <w:r>
        <w:br w:type="page"/>
      </w:r>
    </w:p>
    <w:p/>
    <w:p>
      <w:pPr>
        <w:pStyle w:val="Heading4"/>
        <w:keepNext/>
      </w:pPr>
      <w:r>
        <w:t>Integration and Reporting Agent</w:t>
      </w:r>
    </w:p>
    <w:p>
      <w:r>
        <w:t>The integration agent synthesizes results from all upstream agents into a comprehensive analysis report. Output format is structured JSON containing:</w:t>
      </w:r>
    </w:p>
    <w:p>
      <w:pPr>
        <w:pStyle w:val="ListBullet"/>
      </w:pPr>
      <w:r>
        <w:t>Gene analysis summary (gene, cell type, regulatory role)</w:t>
      </w:r>
    </w:p>
    <w:p>
      <w:pPr>
        <w:pStyle w:val="ListBullet"/>
      </w:pPr>
      <w:r>
        <w:t>Network analysis (regulators, targets, network position)</w:t>
      </w:r>
    </w:p>
    <w:p>
      <w:pPr>
        <w:pStyle w:val="ListBullet"/>
      </w:pPr>
      <w:r>
        <w:t>Therapeutic target prioritization results (if applicable, with ranked regulators)</w:t>
      </w:r>
    </w:p>
    <w:p>
      <w:pPr>
        <w:pStyle w:val="ListBullet"/>
      </w:pPr>
      <w:r>
        <w:t>Pathway enrichment (significant pathways with FDR values)</w:t>
      </w:r>
    </w:p>
    <w:p>
      <w:pPr>
        <w:pStyle w:val="ListBullet"/>
      </w:pPr>
      <w:r>
        <w:t>Cross-cell-type comparison (regulatory role across all 10 cell types)</w:t>
      </w:r>
    </w:p>
    <w:p>
      <w:pPr>
        <w:pStyle w:val="ListBullet"/>
      </w:pPr>
      <w:r>
        <w:t>Domain-specific insights (cancer, drug, clinical, systems perspectives)</w:t>
      </w:r>
    </w:p>
    <w:p>
      <w:pPr>
        <w:pStyle w:val="ListBullet"/>
      </w:pPr>
      <w:r>
        <w:t>Key insights summary (aggregated metrics and classifications)</w:t>
      </w:r>
    </w:p>
    <w:p>
      <w:pPr>
        <w:pStyle w:val="ListBullet"/>
      </w:pPr>
      <w:r>
        <w:t>Workflow metadata (execution time, completed steps)</w:t>
      </w:r>
    </w:p>
    <w:p/>
    <w:p>
      <w:r>
        <w:t>For multi-gene queries, the integration agent additionally generates comparative analyses and identifies common regulators, shared pathways, and complementary biomarker panels.</w:t>
      </w:r>
    </w:p>
    <w:p/>
    <w:p>
      <w:pPr>
        <w:pStyle w:val="Heading3"/>
        <w:keepNext/>
      </w:pPr>
      <w:r>
        <w:t>Model Context Protocol Integration</w:t>
      </w:r>
    </w:p>
    <w:p/>
    <w:p>
      <w:r>
        <w:t>The RegNetAgents workflow is exposed via a Model Context Protocol (MCP) server, enabling conversational access through Claude Desktop. The MCP server implements nine tools:</w:t>
      </w:r>
    </w:p>
    <w:p/>
    <w:p>
      <w:r>
        <w:t>1. comprehensivegeneanalysis: Full workflow execution (network + regulators + targets + target prioritization + pathways + domains)</w:t>
      </w:r>
    </w:p>
    <w:p>
      <w:r>
        <w:t>2. multigeneanalysis: Parallel processing of multiple genes with comparative analysis</w:t>
      </w:r>
    </w:p>
    <w:p>
      <w:r>
        <w:t>3. pathwayfocusedanalysis: Pathway enrichment for user-specified gene lists</w:t>
      </w:r>
    </w:p>
    <w:p>
      <w:r>
        <w:t>4. crosscellcomparison: Regulatory role comparison across all 10 cell types</w:t>
      </w:r>
    </w:p>
    <w:p>
      <w:r>
        <w:t>5. workflow_status: Real-time execution monitoring</w:t>
      </w:r>
    </w:p>
    <w:p>
      <w:r>
        <w:t>6. workflow_insights: Performance analytics and routing decisions</w:t>
      </w:r>
    </w:p>
    <w:p>
      <w:r>
        <w:t>7. createanalysisreport: Generate formatted analysis summaries</w:t>
      </w:r>
    </w:p>
    <w:p>
      <w:r>
        <w:t>8. loadgeneresults: Load previously saved analysis results</w:t>
      </w:r>
    </w:p>
    <w:p>
      <w:r>
        <w:t>9. listavailableresults: Browse available gene analysis files</w:t>
      </w:r>
    </w:p>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 Claude Desktop can additionally access visualization templates via code execution for creating custom plots and comparative analyses.</w:t>
      </w:r>
    </w:p>
    <w:p/>
    <w:p>
      <w:pPr>
        <w:pStyle w:val="Heading3"/>
        <w:keepNext/>
      </w:pPr>
      <w:r>
        <w:t>Implementation Details</w:t>
      </w:r>
    </w:p>
    <w:p/>
    <w:p>
      <w:r>
        <w:t>Software Environment: The system is implemented in Python 3.8+ using the following core dependencies: LangGraph v0.2.28 (workflow orchestration), NetworkX v3.2.1 (network analysis), pandas v2.1.4 (data manipulation), and requests v2.31.0 (API calls). LLM inference uses Ollama v0.1.17 running llama3.1:8b model locally. The Model Context Protocol server implementation uses the mcp Python package v0.9.0 for Claude Desktop integration. All version numbers represent those used for analyses in this manuscript; the framework is compatible with newer versions as they become available.</w:t>
      </w:r>
    </w:p>
    <w:p/>
    <w:p>
      <w:r>
        <w:t>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p>
      <w:r>
        <w:t>External API calls (Reactome v89 REST API, Ensembl REST API v111) use asynchronous requests with 10-second timeouts and exponential backoff retry logic. Parallel agent execution uses Python's concurrent.futures ThreadPoolExecutor with a maximum of 4 concurrent threads.</w:t>
      </w:r>
    </w:p>
    <w:p/>
    <w:p>
      <w:pPr>
        <w:pStyle w:val="Heading3"/>
        <w:keepNext/>
      </w:pPr>
      <w:r>
        <w:t>Performance Benchmarking</w:t>
      </w:r>
    </w:p>
    <w:p/>
    <w:p>
      <w:r>
        <w:t>We measured end-to-end execution time for three analysis scenarios on a standard laptop (Intel i7-14700F, 64GB RAM, Windows 11):</w:t>
      </w:r>
    </w:p>
    <w:p/>
    <w:p>
      <w:r>
        <w:t>1. Single gene comprehensive analysis: TP53 in epithelial cells (all workflow steps)</w:t>
      </w:r>
    </w:p>
    <w:p>
      <w:r>
        <w:t>2. Multi-gene analysis: 5 genes (MYC, CTNNB1, CCND1, TP53, KRAS) in epithelial cells</w:t>
      </w:r>
    </w:p>
    <w:p>
      <w:r>
        <w:t>3. Cross-cell-type comparison: TP53 across all 10 cell types</w:t>
      </w:r>
    </w:p>
    <w:p/>
    <w:p>
      <w:r>
        <w:t>Execution time includes all workflow steps from query initiation to final JSON output, including Reactome API calls.</w:t>
      </w:r>
    </w:p>
    <w:p/>
    <w:p>
      <w:pPr>
        <w:pStyle w:val="Heading3"/>
        <w:keepNext/>
      </w:pPr>
      <w:r>
        <w:t>Data Availability</w:t>
      </w:r>
    </w:p>
    <w:p/>
    <w:p>
      <w:r>
        <w:t>Regulatory network data were obtained from the GREmLN team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
      <w:pPr>
        <w:pStyle w:val="Heading2"/>
        <w:keepNext/>
      </w:pPr>
      <w:r>
        <w:t>RESULTS</w:t>
      </w:r>
    </w:p>
    <w:p/>
    <w:p>
      <w:pPr>
        <w:pStyle w:val="Heading3"/>
        <w:keepNext/>
      </w:pPr>
      <w:r>
        <w:t>Validation Summary</w:t>
      </w:r>
    </w:p>
    <w:p/>
    <w:p>
      <w:r>
        <w:t>Framework validation against established colorectal cancer biology demonstrated:</w:t>
      </w:r>
    </w:p>
    <w:p>
      <w:pPr>
        <w:pStyle w:val="ListBullet"/>
      </w:pPr>
      <w:r>
        <w:t>Network architecture alignment with known biological roles (hub regulators: TP53, MYC, CTNNB1; end-point effectors: CCND1, KRAS)</w:t>
      </w:r>
    </w:p>
    <w:p>
      <w:pPr>
        <w:pStyle w:val="ListBullet"/>
      </w:pPr>
      <w:r>
        <w:t>High-ranking identification of literature-supported TP53 interactors from Hippo pathway (WWTR1, YAP1, CHD4) based on network topology</w:t>
      </w:r>
    </w:p>
    <w:p>
      <w:pPr>
        <w:pStyle w:val="ListBullet"/>
      </w:pPr>
      <w:r>
        <w:t>Pathway coherence between network topology and biological pathways (Hippo signaling enrichment, FDR = 0.020)</w:t>
      </w:r>
    </w:p>
    <w:p>
      <w:pPr>
        <w:pStyle w:val="ListBullet"/>
      </w:pPr>
      <w:r>
        <w:t>Novel hypothesis generation for experimental validation (RBPMS, PRRX2, THRA, IKZF2)</w:t>
      </w:r>
    </w:p>
    <w:p/>
    <w:p>
      <w:r>
        <w:t>These results demonstrate the framework produces biologically meaningful outputs suitable for hypothesis generation and experimental prioritization.</w:t>
      </w:r>
    </w:p>
    <w:p/>
    <w:p>
      <w:pPr>
        <w:pStyle w:val="Heading3"/>
        <w:keepNext/>
      </w:pPr>
      <w:r>
        <w:t>System Performance</w:t>
      </w:r>
    </w:p>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p>
      <w:r>
        <w:t>Rule-based mode provides rapid analysis without LLM dependencies. Single gene comprehensive analysis of TP53 in epithelial cells (network modeling, complete regulator ranking of all 7 upstream regulators, Reactome pathway enrichment) completed in 0.60 seconds. Multi-gene analysis of 5 genes (MYC, CTNNB1, CCND1, TP53, KRAS) including complete regulator ranking of all 99 upstream regulators completed in 15.49 seconds with parallel execution.</w:t>
      </w:r>
    </w:p>
    <w:p/>
    <w:p>
      <w:r>
        <w:t>LLM-powered mode adds specialized domain analysis with scientific rationales from four domain agents (cancer biology, drug discovery, clinical relevance, systems biology). Single gene comprehensive analysis with LLM insights averages ~15 seconds.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p>
      <w:r>
        <w:t>Performance breakdown: Network lookups are near-instantaneous (&lt;1 ms), Reactome API calls take 0.3-1.5 seconds, and local LLM inference (Ollama/llama3.1:8b) adds overhead for domain agent analysis. PageRank pre-computation enables instant regulator ranking.</w:t>
      </w:r>
    </w:p>
    <w:p/>
    <w:p>
      <w:r>
        <w:br w:type="page"/>
      </w:r>
    </w:p>
    <w:p/>
    <w:p>
      <w:pPr>
        <w:keepNext/>
      </w:pPr>
      <w:r>
        <w:t>Table 1. Performance Benchmarks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Type</w:t>
            </w:r>
          </w:p>
        </w:tc>
        <w:tc>
          <w:tcPr>
            <w:tcW w:type="dxa" w:w="2340"/>
          </w:tcPr>
          <w:p>
            <w:r>
              <w:rPr>
                <w:b/>
              </w:rPr>
              <w:t>Genes</w:t>
            </w:r>
          </w:p>
        </w:tc>
        <w:tc>
          <w:tcPr>
            <w:tcW w:type="dxa" w:w="2340"/>
          </w:tcPr>
          <w:p>
            <w:r>
              <w:rPr>
                <w:b/>
              </w:rPr>
              <w:t>Execution Time</w:t>
            </w:r>
          </w:p>
        </w:tc>
        <w:tc>
          <w:tcPr>
            <w:tcW w:type="dxa" w:w="2340"/>
          </w:tcPr>
          <w:p>
            <w:r>
              <w:rPr>
                <w:b/>
              </w:rPr>
              <w:t>Components</w:t>
            </w:r>
          </w:p>
        </w:tc>
      </w:tr>
      <w:tr>
        <w:tc>
          <w:tcPr>
            <w:tcW w:type="dxa" w:w="2340"/>
          </w:tcPr>
          <w:p>
            <w:r>
              <w:t>Focused (rule-based)</w:t>
            </w:r>
          </w:p>
        </w:tc>
        <w:tc>
          <w:tcPr>
            <w:tcW w:type="dxa" w:w="2340"/>
          </w:tcPr>
          <w:p>
            <w:r>
              <w:t>TP53</w:t>
            </w:r>
          </w:p>
        </w:tc>
        <w:tc>
          <w:tcPr>
            <w:tcW w:type="dxa" w:w="2340"/>
          </w:tcPr>
          <w:p>
            <w:r>
              <w:t>0.60 sec</w:t>
            </w:r>
          </w:p>
        </w:tc>
        <w:tc>
          <w:tcPr>
            <w:tcW w:type="dxa" w:w="2340"/>
          </w:tcPr>
          <w:p>
            <w:r>
              <w:t>Network analysis + Reactome pathway enrichment (16 pathways, FDR correction)</w:t>
            </w:r>
          </w:p>
        </w:tc>
      </w:tr>
      <w:tr>
        <w:tc>
          <w:tcPr>
            <w:tcW w:type="dxa" w:w="2340"/>
          </w:tcPr>
          <w:p>
            <w:r>
              <w:t>Comprehensive (rule-based)</w:t>
            </w:r>
          </w:p>
        </w:tc>
        <w:tc>
          <w:tcPr>
            <w:tcW w:type="dxa" w:w="2340"/>
          </w:tcPr>
          <w:p>
            <w:r>
              <w:t>TP53</w:t>
            </w:r>
          </w:p>
        </w:tc>
        <w:tc>
          <w:tcPr>
            <w:tcW w:type="dxa" w:w="2340"/>
          </w:tcPr>
          <w:p>
            <w:r>
              <w:t>0.68 sec</w:t>
            </w:r>
          </w:p>
        </w:tc>
        <w:tc>
          <w:tcPr>
            <w:tcW w:type="dxa" w:w="2340"/>
          </w:tcPr>
          <w:p>
            <w:r>
              <w:t>Network lookup, regulators, targets, complete regulator ranking (all 7 upstream regulators)</w:t>
            </w:r>
          </w:p>
        </w:tc>
      </w:tr>
      <w:tr>
        <w:tc>
          <w:tcPr>
            <w:tcW w:type="dxa" w:w="2340"/>
          </w:tcPr>
          <w:p>
            <w:r>
              <w:t>Comprehensive (LLM-powered)</w:t>
            </w:r>
          </w:p>
        </w:tc>
        <w:tc>
          <w:tcPr>
            <w:tcW w:type="dxa" w:w="2340"/>
          </w:tcPr>
          <w:p>
            <w:r>
              <w:t>TP53</w:t>
            </w:r>
          </w:p>
        </w:tc>
        <w:tc>
          <w:tcPr>
            <w:tcW w:type="dxa" w:w="2340"/>
          </w:tcPr>
          <w:p>
            <w:r>
              <w:t>~15 sec</w:t>
            </w:r>
          </w:p>
        </w:tc>
        <w:tc>
          <w:tcPr>
            <w:tcW w:type="dxa" w:w="2340"/>
          </w:tcPr>
          <w:p>
            <w:r>
              <w:t>Network + regulator ranking + pathways + 4 LLM agents with scientific rationales</w:t>
            </w:r>
          </w:p>
        </w:tc>
      </w:tr>
      <w:tr>
        <w:tc>
          <w:tcPr>
            <w:tcW w:type="dxa" w:w="2340"/>
          </w:tcPr>
          <w:p>
            <w:r>
              <w:t>Multi-gene (rule-based)</w:t>
            </w:r>
          </w:p>
        </w:tc>
        <w:tc>
          <w:tcPr>
            <w:tcW w:type="dxa" w:w="2340"/>
          </w:tcPr>
          <w:p>
            <w:r>
              <w:t>5 genes</w:t>
            </w:r>
          </w:p>
        </w:tc>
        <w:tc>
          <w:tcPr>
            <w:tcW w:type="dxa" w:w="2340"/>
          </w:tcPr>
          <w:p>
            <w:r>
              <w:t>15.49 sec</w:t>
            </w:r>
          </w:p>
        </w:tc>
        <w:tc>
          <w:tcPr>
            <w:tcW w:type="dxa" w:w="2340"/>
          </w:tcPr>
          <w:p>
            <w:r>
              <w:t>Network analysis, complete regulator ranking (all 99 regulators, parallel execution)</w:t>
            </w:r>
          </w:p>
        </w:tc>
      </w:tr>
      <w:tr>
        <w:tc>
          <w:tcPr>
            <w:tcW w:type="dxa" w:w="2340"/>
          </w:tcPr>
          <w:p>
            <w:r>
              <w:t>Multi-gene (LLM-powered)</w:t>
            </w:r>
          </w:p>
        </w:tc>
        <w:tc>
          <w:tcPr>
            <w:tcW w:type="dxa" w:w="2340"/>
          </w:tcPr>
          <w:p>
            <w:r>
              <w:t>5 genes</w:t>
            </w:r>
          </w:p>
        </w:tc>
        <w:tc>
          <w:tcPr>
            <w:tcW w:type="dxa" w:w="2340"/>
          </w:tcPr>
          <w:p>
            <w:r>
              <w:t>~62 sec</w:t>
            </w:r>
          </w:p>
        </w:tc>
        <w:tc>
          <w:tcPr>
            <w:tcW w:type="dxa" w:w="2340"/>
          </w:tcPr>
          <w:p>
            <w:r>
              <w:t>Network + regulator ranking (99 regulators) + pathways + 4 parallel LLM agents</w:t>
            </w:r>
          </w:p>
        </w:tc>
      </w:tr>
      <w:tr>
        <w:tc>
          <w:tcPr>
            <w:tcW w:type="dxa" w:w="2340"/>
          </w:tcPr>
          <w:p>
            <w:r>
              <w:t>Cross-cell comparison</w:t>
            </w:r>
          </w:p>
        </w:tc>
        <w:tc>
          <w:tcPr>
            <w:tcW w:type="dxa" w:w="2340"/>
          </w:tcPr>
          <w:p>
            <w:r>
              <w:t>TP53, 10 types</w:t>
            </w:r>
          </w:p>
        </w:tc>
        <w:tc>
          <w:tcPr>
            <w:tcW w:type="dxa" w:w="2340"/>
          </w:tcPr>
          <w:p>
            <w:r>
              <w:t>&lt;0.01 sec</w:t>
            </w:r>
          </w:p>
        </w:tc>
        <w:tc>
          <w:tcPr>
            <w:tcW w:type="dxa" w:w="234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"Focused" mode emphasizes pathway enrichment via Reactome API, while "Comprehensive" mode adds complete regulator ranking analysis, making it slightly slower despite both being rule-based. PageRank pre-computation in network cache enables instant regulator ranking. All measurements via Claude Desktop MCP integration on standard laptop (Intel i7-14700F, 64GB RAM, Windows 11) with stable internet connection and Ollama server running locally.</w:t>
      </w:r>
    </w:p>
    <w:p/>
    <w:p>
      <w:pPr>
        <w:pStyle w:val="Heading3"/>
        <w:keepNext/>
      </w:pPr>
      <w:r>
        <w:t>Workflow Automation and Performance</w:t>
      </w:r>
    </w:p>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2C).</w:t>
      </w:r>
    </w:p>
    <w:p/>
    <w:p>
      <w:r>
        <w:t>This acceleration enables exploratory analyses previously impractical due to time constraints. For example, analyzing a 5-gene biomarker panel with therapeutic target prioritization for all regulators (99 total regulators across 5 genes) requires 15.49 seconds (rule-based) or ~62 seconds (LLM-powered), versus an estimated 10-20 hours of manual effort (2-4 hours per gene × 5 genes). The framework transforms gene regulatory analysis from a multi-hour undertaking into an interactive, conversational experience accessible to experimental biologists without computational expertise.</w:t>
      </w:r>
    </w:p>
    <w:p/>
    <w:p>
      <w:pPr>
        <w:pStyle w:val="Heading3"/>
        <w:keepNext/>
      </w:pPr>
      <w:r>
        <w:t>LLM-Powered Domain Analysis Adds Scientific Context</w:t>
      </w:r>
    </w:p>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2D).</w:t>
      </w:r>
    </w:p>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
      <w:pPr>
        <w:pStyle w:val="Heading4"/>
        <w:keepNext/>
      </w:pPr>
      <w:r>
        <w:t>LLM-Generated Rationale Validation</w:t>
      </w:r>
    </w:p>
    <w:p/>
    <w:p>
      <w:r>
        <w:t>To assess LLM-generated rationale accuracy, we manually reviewed all domain agent rationales generated for the five-gene CRC panel. The LLM-powered mode produced scientific explanations for each classification across four domain agents (cancer biology, drug development, clinical relevance, systems biology), totaling multiple rationales per gene. Manual validation against published CRC literature demonstrated alignment with established biology:</w:t>
      </w:r>
    </w:p>
    <w:p/>
    <w:p>
      <w:r>
        <w:t>Oncogenic/tumor suppressor classifications: LLM rationales accurately identified MYC, CTNNB1, and CCND1 as oncogenic based on their network regulatory roles and known cancer involvement, while correctly characterizing TP53 as a tumor suppressor. For example, the MYC cancer agent rationale stated: "As a hub regulator with high in-degree and out-degree, MYC plays a central role in regulating transcriptional networks, contributing to its oncogenic potential"—aligning with documented MYC amplification in 15-20% of CRCs (23,24).</w:t>
      </w:r>
    </w:p>
    <w:p/>
    <w:p>
      <w:r>
        <w:t>Therapeutic and druggability rationales: LLM-generated drug development insights correctly linked network topology to therapeutic strategies. CTNNB1's drug agent rationale noted: "Inhibiting CTNNB1 could disrupt aberrant Wnt/β-catenin signaling pathways, which are implicated in various cancers"—matching established understanding of Wnt pathway dysregulation in 40-80% of CRCs (25,26). These mechanistic explanations synthesize network position (hub regulator, 310 targets) with pathway knowledge (Wnt signaling) to explain druggability.</w:t>
      </w:r>
    </w:p>
    <w:p/>
    <w:p>
      <w:r>
        <w:t>Mechanistic explanations: Systems biology agent rationales demonstrated accurate integration of network topology with biological function. For CCND1, the systems agent explained: "Given its critical role in cell cycle progression and frequent mutations in human cancers, CCND1's disruption would have significant network-wide effects"—reflecting documented CCND1 overexpression in 30-60% of CRCs and its G1/S transition function (27). Similarly, TP53 was characterized as: "Mutations in TP53 are associated with various human cancers, indicating that its loss or dysregulation has critical consequences for the network"—consistent with 50-70% mutation rates in CRCs (28,29).</w:t>
      </w:r>
    </w:p>
    <w:p/>
    <w:p>
      <w:pPr>
        <w:pStyle w:val="Heading3"/>
        <w:keepNext/>
      </w:pPr>
      <w:r>
        <w:t>Demonstration Case Study: Colorectal Cancer Biomarker Analysis</w:t>
      </w:r>
    </w:p>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p>
      <w:pPr>
        <w:pStyle w:val="Heading4"/>
        <w:keepNext/>
      </w:pPr>
      <w:r>
        <w:t>Multi-Gene Regulatory Network Analysis</w:t>
      </w:r>
    </w:p>
    <w:p/>
    <w:p>
      <w:r>
        <w:t>The five-gene panel exhibited distinct regulatory architectures (Table 2, Figure 3). Three genes emerged as hub regulators with extensive downstream connectivity: TP53 (163 targets, 7 regulators), MYC (427 targets, 25 regulators), and CTNNB1 (310 targets, 18 regulators), indicating central roles in signal amplification and oncogenic pathway activation. Two genes showed heavily regulated profiles with no identified downstream regulatory relationships in the epithelial network: CCND1 (0 targets, 42 regulators - extensively controlled) and KRAS (0 targets, 7 regulators), indicating they function as end-point effectors in signaling cascades.</w:t>
      </w:r>
    </w:p>
    <w:p/>
    <w:p>
      <w:r>
        <w:br w:type="page"/>
      </w:r>
    </w:p>
    <w:p/>
    <w:p>
      <w:pPr>
        <w:keepNext/>
      </w:pPr>
      <w:r>
        <w:t>Table 2. Colorectal Cancer Biomarker Panel Analysis</w:t>
      </w:r>
    </w:p>
    <w:p/>
    <w:tbl>
      <w:tblPr>
        <w:tblStyle w:val="LightGrid-Accent1"/>
        <w:tblW w:type="auto" w:w="0"/>
        <w:tblLook w:firstColumn="1" w:firstRow="1" w:lastColumn="0" w:lastRow="0" w:noHBand="0" w:noVBand="1" w:val="04A0"/>
        <w:cantSplit/>
      </w:tblPr>
      <w:tblGrid>
        <w:gridCol w:w="1872"/>
        <w:gridCol w:w="1872"/>
        <w:gridCol w:w="1872"/>
        <w:gridCol w:w="1872"/>
        <w:gridCol w:w="1872"/>
      </w:tblGrid>
      <w:tr>
        <w:tc>
          <w:tcPr>
            <w:tcW w:type="dxa" w:w="1872"/>
          </w:tcPr>
          <w:p>
            <w:r>
              <w:rPr>
                <w:b/>
              </w:rPr>
              <w:t>Gene</w:t>
            </w:r>
          </w:p>
        </w:tc>
        <w:tc>
          <w:tcPr>
            <w:tcW w:type="dxa" w:w="1872"/>
          </w:tcPr>
          <w:p>
            <w:r>
              <w:rPr>
                <w:b/>
              </w:rPr>
              <w:t>Regulatory Role</w:t>
            </w:r>
          </w:p>
        </w:tc>
        <w:tc>
          <w:tcPr>
            <w:tcW w:type="dxa" w:w="1872"/>
          </w:tcPr>
          <w:p>
            <w:r>
              <w:rPr>
                <w:b/>
              </w:rPr>
              <w:t>Targets</w:t>
            </w:r>
          </w:p>
        </w:tc>
        <w:tc>
          <w:tcPr>
            <w:tcW w:type="dxa" w:w="1872"/>
          </w:tcPr>
          <w:p>
            <w:r>
              <w:rPr>
                <w:b/>
              </w:rPr>
              <w:t>Regulators</w:t>
            </w:r>
          </w:p>
        </w:tc>
        <w:tc>
          <w:tcPr>
            <w:tcW w:type="dxa" w:w="1872"/>
          </w:tcPr>
          <w:p>
            <w:r>
              <w:rPr>
                <w:b/>
              </w:rPr>
              <w:t>Top Candidate Regulator (PageRank)</w:t>
            </w:r>
          </w:p>
        </w:tc>
      </w:tr>
      <w:tr>
        <w:tc>
          <w:tcPr>
            <w:tcW w:type="dxa" w:w="1872"/>
          </w:tcPr>
          <w:p>
            <w:r>
              <w:t>MYC</w:t>
            </w:r>
          </w:p>
        </w:tc>
        <w:tc>
          <w:tcPr>
            <w:tcW w:type="dxa" w:w="1872"/>
          </w:tcPr>
          <w:p>
            <w:r>
              <w:t>Hub Regulator</w:t>
            </w:r>
          </w:p>
        </w:tc>
        <w:tc>
          <w:tcPr>
            <w:tcW w:type="dxa" w:w="1872"/>
          </w:tcPr>
          <w:p>
            <w:r>
              <w:t>427</w:t>
            </w:r>
          </w:p>
        </w:tc>
        <w:tc>
          <w:tcPr>
            <w:tcW w:type="dxa" w:w="1872"/>
          </w:tcPr>
          <w:p>
            <w:r>
              <w:t>25</w:t>
            </w:r>
          </w:p>
        </w:tc>
        <w:tc>
          <w:tcPr>
            <w:tcW w:type="dxa" w:w="1872"/>
          </w:tcPr>
          <w:p>
            <w:r>
              <w:t>ID4 (0.622)</w:t>
            </w:r>
          </w:p>
        </w:tc>
      </w:tr>
      <w:tr>
        <w:tc>
          <w:tcPr>
            <w:tcW w:type="dxa" w:w="1872"/>
          </w:tcPr>
          <w:p>
            <w:r>
              <w:t>CTNNB1</w:t>
            </w:r>
          </w:p>
        </w:tc>
        <w:tc>
          <w:tcPr>
            <w:tcW w:type="dxa" w:w="1872"/>
          </w:tcPr>
          <w:p>
            <w:r>
              <w:t>Hub Regulator</w:t>
            </w:r>
          </w:p>
        </w:tc>
        <w:tc>
          <w:tcPr>
            <w:tcW w:type="dxa" w:w="1872"/>
          </w:tcPr>
          <w:p>
            <w:r>
              <w:t>310</w:t>
            </w:r>
          </w:p>
        </w:tc>
        <w:tc>
          <w:tcPr>
            <w:tcW w:type="dxa" w:w="1872"/>
          </w:tcPr>
          <w:p>
            <w:r>
              <w:t>18</w:t>
            </w:r>
          </w:p>
        </w:tc>
        <w:tc>
          <w:tcPr>
            <w:tcW w:type="dxa" w:w="1872"/>
          </w:tcPr>
          <w:p>
            <w:r>
              <w:t>CHD2 (0.530)</w:t>
            </w:r>
          </w:p>
        </w:tc>
      </w:tr>
      <w:tr>
        <w:tc>
          <w:tcPr>
            <w:tcW w:type="dxa" w:w="1872"/>
          </w:tcPr>
          <w:p>
            <w:r>
              <w:t>CCND1</w:t>
            </w:r>
          </w:p>
        </w:tc>
        <w:tc>
          <w:tcPr>
            <w:tcW w:type="dxa" w:w="1872"/>
          </w:tcPr>
          <w:p>
            <w:r>
              <w:t>Heavily Regulated</w:t>
            </w:r>
          </w:p>
        </w:tc>
        <w:tc>
          <w:tcPr>
            <w:tcW w:type="dxa" w:w="1872"/>
          </w:tcPr>
          <w:p>
            <w:r>
              <w:t>0</w:t>
            </w:r>
          </w:p>
        </w:tc>
        <w:tc>
          <w:tcPr>
            <w:tcW w:type="dxa" w:w="1872"/>
          </w:tcPr>
          <w:p>
            <w:r>
              <w:t>42</w:t>
            </w:r>
          </w:p>
        </w:tc>
        <w:tc>
          <w:tcPr>
            <w:tcW w:type="dxa" w:w="1872"/>
          </w:tcPr>
          <w:p>
            <w:r>
              <w:t>ZBTB20 (0.600)</w:t>
            </w:r>
          </w:p>
        </w:tc>
      </w:tr>
      <w:tr>
        <w:tc>
          <w:tcPr>
            <w:tcW w:type="dxa" w:w="1872"/>
          </w:tcPr>
          <w:p>
            <w:r>
              <w:t>TP53</w:t>
            </w:r>
          </w:p>
        </w:tc>
        <w:tc>
          <w:tcPr>
            <w:tcW w:type="dxa" w:w="1872"/>
          </w:tcPr>
          <w:p>
            <w:r>
              <w:t>Hub Regulator</w:t>
            </w:r>
          </w:p>
        </w:tc>
        <w:tc>
          <w:tcPr>
            <w:tcW w:type="dxa" w:w="1872"/>
          </w:tcPr>
          <w:p>
            <w:r>
              <w:t>163</w:t>
            </w:r>
          </w:p>
        </w:tc>
        <w:tc>
          <w:tcPr>
            <w:tcW w:type="dxa" w:w="1872"/>
          </w:tcPr>
          <w:p>
            <w:r>
              <w:t>7</w:t>
            </w:r>
          </w:p>
        </w:tc>
        <w:tc>
          <w:tcPr>
            <w:tcW w:type="dxa" w:w="1872"/>
          </w:tcPr>
          <w:p>
            <w:r>
              <w:t>WWTR1 (0.473)</w:t>
            </w:r>
          </w:p>
        </w:tc>
      </w:tr>
      <w:tr>
        <w:tc>
          <w:tcPr>
            <w:tcW w:type="dxa" w:w="1872"/>
          </w:tcPr>
          <w:p>
            <w:r>
              <w:t>KRAS</w:t>
            </w:r>
          </w:p>
        </w:tc>
        <w:tc>
          <w:tcPr>
            <w:tcW w:type="dxa" w:w="1872"/>
          </w:tcPr>
          <w:p>
            <w:r>
              <w:t>Heavily Regulated</w:t>
            </w:r>
          </w:p>
        </w:tc>
        <w:tc>
          <w:tcPr>
            <w:tcW w:type="dxa" w:w="1872"/>
          </w:tcPr>
          <w:p>
            <w:r>
              <w:t>0</w:t>
            </w:r>
          </w:p>
        </w:tc>
        <w:tc>
          <w:tcPr>
            <w:tcW w:type="dxa" w:w="1872"/>
          </w:tcPr>
          <w:p>
            <w:r>
              <w:t>7</w:t>
            </w:r>
          </w:p>
        </w:tc>
        <w:tc>
          <w:tcPr>
            <w:tcW w:type="dxa" w:w="1872"/>
          </w:tcPr>
          <w:p>
            <w:r>
              <w:t>GPBP1 (0.609)</w:t>
            </w:r>
          </w:p>
        </w:tc>
      </w:tr>
    </w:tbl>
    <w:p/>
    <w:p>
      <w:r>
        <w:t>Therapeutic target prioritization performed for all five genes - all upstream regulators analyzed (25, 18, 42, 7, and 7 regulators respectively, total of 99 regulators). The system ranks regulators using pre-computed network centrality metrics from the full epithelial cell network, with PageRank (normalized [0-1]) as the primary ranking metric calculated on entire network to capture global influence (best predictor of drug target success per Mora &amp; Donaldson 2021). Targets and Regulators columns show count of network connections. Top candidate regulator shown for each gene (ranked by PageRank). These rankings serve as hypotheses for experimental validation. Detailed TP53 regulator ranking results presented below (Table 3) as representative example with complete rankings of all 7 regulators including both PageRank and out-degree centrality metrics.</w:t>
      </w:r>
    </w:p>
    <w:p/>
    <w:p>
      <w:pPr>
        <w:pStyle w:val="Heading4"/>
        <w:keepNext/>
      </w:pPr>
      <w:r>
        <w:t>Network Architecture and Literature Context</w:t>
      </w:r>
    </w:p>
    <w:p/>
    <w:p>
      <w:r>
        <w:t>Network analysis revealed distinct regulatory architectures that align with known biological roles. Three genes emerged as hub regulators with extensive downstream connectivity: TP53 (163 targets), MYC (427 targets), and CTNNB1 (310 targets), indicating signal amplification roles consistent with their documented functions as master regulatory hubs in tumor suppression and oncogenic signaling. Two genes showed heavily regulated profiles with no downstream regulation: CCND1 (42 regulators) and KRAS (7 regulators), consistent with their roles as end-point effectors in signaling cascades.</w:t>
      </w:r>
    </w:p>
    <w:p/>
    <w:p>
      <w:r>
        <w:t>These regulatory patterns align with established CRC biology. MYC amplification occurs in 15-20% of CRCs and correlates with poor prognosis (23,24). CTNNB1 mutations/dysregulation occur in 40-80% of CRCs via APC loss and Wnt pathway activation (25,26). CCND1 overexpression occurs in 30-60% of CRCs and drives G1/S cell cycle transition (27). TP53 mutations occur in 50-70% of CRCs and associate with advanced stage, metastasis, and poor survival (28,29). KRAS mutations occur in 40-45% of CRCs and confer resistance to anti-EGFR therapies (30,31).</w:t>
      </w:r>
    </w:p>
    <w:p/>
    <w:p>
      <w:r>
        <w:t>The framework's identification of distinct network architectures (hub regulators vs. heavily regulated genes) demonstrates its ability to characterize gene regulatory roles from network topology, providing context for interpretation of each gene's potential biological significance.</w:t>
      </w:r>
    </w:p>
    <w:p/>
    <w:p>
      <w:pPr>
        <w:pStyle w:val="Heading3"/>
        <w:keepNext/>
      </w:pPr>
      <w:r>
        <w:t>Therapeutic Target Prioritization: TP53 Candidate Regulator Ranking</w:t>
      </w:r>
    </w:p>
    <w:p/>
    <w:p>
      <w:r>
        <w:t>To illustrate framework capabilities for hypothesis generation, we performed automated therapeutic target prioritization on TP53, which has 7 upstream regulators in epithelial cells according to the ARACNe-inferred network. The analysis ranks all regulators using network centrality metrics computed from network topology (Figure 4). These rankings serve as hypotheses for experimental validation, not predictions of therapeutic efficacy.</w:t>
      </w:r>
    </w:p>
    <w:p/>
    <w:p>
      <w:pPr>
        <w:pStyle w:val="Heading4"/>
        <w:keepNext/>
      </w:pPr>
      <w:r>
        <w:t>Literature Comparison for Top-Ranked Candidates</w:t>
      </w:r>
    </w:p>
    <w:p/>
    <w:p>
      <w:r>
        <w:t>We compared the top 3 network-ranked candidates (by PageRank) against published literature to assess whether topology-based ranking recapitulates known biology:</w:t>
      </w:r>
    </w:p>
    <w:p/>
    <w:p>
      <w:r>
        <w:t>WWTR1 (TAZ):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(32,33). The high PageRank ranking identifies WWTR1 as a central network node, consistent with the established role of Hippo pathway components in regulating cell growth and tumor suppression (34,35). Literature documents bidirectional crosstalk between TP53 and Hippo pathway effectors, where TP53 can regulate YAP1/WWTR1 and vice versa depending on cellular context. The network connectivity between WWTR1 and TP53 represents a testable hypothesis for functional interaction warranting experimental validation of the specific regulatory direction in epithelial cells.</w:t>
      </w:r>
    </w:p>
    <w:p/>
    <w:p>
      <w:r>
        <w:t>RBPMS: RNA-binding protein with multiple splicing that shows the highest degree centrality among TP53 regulators (403 downstream targets). The related protein RBPMS2 has been implicated in smooth muscle plasticity and gene regulation (36),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p>
      <w:r>
        <w:t>PRRX2: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p>
      <w:r>
        <w:t>This comparison demonstrates that topology-based ranking can: (1) recapitulate experimentally validated regulators (WWTR1 and YAP1 from Hippo pathway, CHD4 from chromatin remodeling complexes (37-39)), and (2) generate testable hypotheses (RBPMS, PRRX2, THRA, IKZF2) for experimental follow-up. The framework serves as a hypothesis generation tool to prioritize candidates for experimental validation.</w:t>
      </w:r>
    </w:p>
    <w:p/>
    <w:p>
      <w:r>
        <w:t>Table 3 shows the complete ranking of all 7 regulators, not a filtered subset, providing full transparency in the prioritization analysis.</w:t>
      </w:r>
    </w:p>
    <w:p/>
    <w:p>
      <w:r>
        <w:br w:type="page"/>
      </w:r>
    </w:p>
    <w:p/>
    <w:p>
      <w:pPr>
        <w:keepNext/>
      </w:pPr>
      <w:r>
        <w:t>Table 3. TP53 Therapeutic Target Prioritization Results - Comparison with Known Biology</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Rank</w:t>
            </w:r>
          </w:p>
        </w:tc>
        <w:tc>
          <w:tcPr>
            <w:tcW w:type="dxa" w:w="1560"/>
          </w:tcPr>
          <w:p>
            <w:r>
              <w:rPr>
                <w:b/>
              </w:rPr>
              <w:t>Regulator</w:t>
            </w:r>
          </w:p>
        </w:tc>
        <w:tc>
          <w:tcPr>
            <w:tcW w:type="dxa" w:w="1560"/>
          </w:tcPr>
          <w:p>
            <w:r>
              <w:rPr>
                <w:b/>
              </w:rPr>
              <w:t>PageRank</w:t>
            </w:r>
          </w:p>
        </w:tc>
        <w:tc>
          <w:tcPr>
            <w:tcW w:type="dxa" w:w="1560"/>
          </w:tcPr>
          <w:p>
            <w:r>
              <w:rPr>
                <w:b/>
              </w:rPr>
              <w:t>Out-Degree Centrality</w:t>
            </w:r>
          </w:p>
        </w:tc>
        <w:tc>
          <w:tcPr>
            <w:tcW w:type="dxa" w:w="1560"/>
          </w:tcPr>
          <w:p>
            <w:r>
              <w:rPr>
                <w:b/>
              </w:rPr>
              <w:t>Downstream Targets</w:t>
            </w:r>
          </w:p>
        </w:tc>
        <w:tc>
          <w:tcPr>
            <w:tcW w:type="dxa" w:w="1560"/>
          </w:tcPr>
          <w:p>
            <w:r>
              <w:rPr>
                <w:b/>
              </w:rPr>
              <w:t>Literature Status</w:t>
            </w:r>
          </w:p>
        </w:tc>
      </w:tr>
      <w:tr>
        <w:tc>
          <w:tcPr>
            <w:tcW w:type="dxa" w:w="1560"/>
          </w:tcPr>
          <w:p>
            <w:r>
              <w:t>1</w:t>
            </w:r>
          </w:p>
        </w:tc>
        <w:tc>
          <w:tcPr>
            <w:tcW w:type="dxa" w:w="1560"/>
          </w:tcPr>
          <w:p>
            <w:r>
              <w:t>WWTR1</w:t>
            </w:r>
          </w:p>
        </w:tc>
        <w:tc>
          <w:tcPr>
            <w:tcW w:type="dxa" w:w="1560"/>
          </w:tcPr>
          <w:p>
            <w:r>
              <w:t>0.473</w:t>
            </w:r>
          </w:p>
        </w:tc>
        <w:tc>
          <w:tcPr>
            <w:tcW w:type="dxa" w:w="1560"/>
          </w:tcPr>
          <w:p>
            <w:r>
              <w:t>0.020</w:t>
            </w:r>
          </w:p>
        </w:tc>
        <w:tc>
          <w:tcPr>
            <w:tcW w:type="dxa" w:w="1560"/>
          </w:tcPr>
          <w:p>
            <w:r>
              <w:t>293</w:t>
            </w:r>
          </w:p>
        </w:tc>
        <w:tc>
          <w:tcPr>
            <w:tcW w:type="dxa" w:w="1560"/>
          </w:tcPr>
          <w:p>
            <w:r>
              <w:t>✓ Literature-supported (32-35)</w:t>
            </w:r>
          </w:p>
        </w:tc>
      </w:tr>
      <w:tr>
        <w:tc>
          <w:tcPr>
            <w:tcW w:type="dxa" w:w="1560"/>
          </w:tcPr>
          <w:p>
            <w:r>
              <w:t>2</w:t>
            </w:r>
          </w:p>
        </w:tc>
        <w:tc>
          <w:tcPr>
            <w:tcW w:type="dxa" w:w="1560"/>
          </w:tcPr>
          <w:p>
            <w:r>
              <w:t>RBPMS</w:t>
            </w:r>
          </w:p>
        </w:tc>
        <w:tc>
          <w:tcPr>
            <w:tcW w:type="dxa" w:w="1560"/>
          </w:tcPr>
          <w:p>
            <w:r>
              <w:t>0.469</w:t>
            </w:r>
          </w:p>
        </w:tc>
        <w:tc>
          <w:tcPr>
            <w:tcW w:type="dxa" w:w="1560"/>
          </w:tcPr>
          <w:p>
            <w:r>
              <w:t>0.028</w:t>
            </w:r>
          </w:p>
        </w:tc>
        <w:tc>
          <w:tcPr>
            <w:tcW w:type="dxa" w:w="1560"/>
          </w:tcPr>
          <w:p>
            <w:r>
              <w:t>403</w:t>
            </w:r>
          </w:p>
        </w:tc>
        <w:tc>
          <w:tcPr>
            <w:tcW w:type="dxa" w:w="1560"/>
          </w:tcPr>
          <w:p>
            <w:r>
              <w:t>Novel hypothesis</w:t>
            </w:r>
          </w:p>
        </w:tc>
      </w:tr>
      <w:tr>
        <w:tc>
          <w:tcPr>
            <w:tcW w:type="dxa" w:w="1560"/>
          </w:tcPr>
          <w:p>
            <w:r>
              <w:t>3</w:t>
            </w:r>
          </w:p>
        </w:tc>
        <w:tc>
          <w:tcPr>
            <w:tcW w:type="dxa" w:w="1560"/>
          </w:tcPr>
          <w:p>
            <w:r>
              <w:t>PRRX2</w:t>
            </w:r>
          </w:p>
        </w:tc>
        <w:tc>
          <w:tcPr>
            <w:tcW w:type="dxa" w:w="1560"/>
          </w:tcPr>
          <w:p>
            <w:r>
              <w:t>0.454</w:t>
            </w:r>
          </w:p>
        </w:tc>
        <w:tc>
          <w:tcPr>
            <w:tcW w:type="dxa" w:w="1560"/>
          </w:tcPr>
          <w:p>
            <w:r>
              <w:t>0.006</w:t>
            </w:r>
          </w:p>
        </w:tc>
        <w:tc>
          <w:tcPr>
            <w:tcW w:type="dxa" w:w="1560"/>
          </w:tcPr>
          <w:p>
            <w:r>
              <w:t>93</w:t>
            </w:r>
          </w:p>
        </w:tc>
        <w:tc>
          <w:tcPr>
            <w:tcW w:type="dxa" w:w="1560"/>
          </w:tcPr>
          <w:p>
            <w:r>
              <w:t>Novel hypothesis</w:t>
            </w:r>
          </w:p>
        </w:tc>
      </w:tr>
      <w:tr>
        <w:tc>
          <w:tcPr>
            <w:tcW w:type="dxa" w:w="1560"/>
          </w:tcPr>
          <w:p>
            <w:r>
              <w:t>4</w:t>
            </w:r>
          </w:p>
        </w:tc>
        <w:tc>
          <w:tcPr>
            <w:tcW w:type="dxa" w:w="1560"/>
          </w:tcPr>
          <w:p>
            <w:r>
              <w:t>CHD4</w:t>
            </w:r>
          </w:p>
        </w:tc>
        <w:tc>
          <w:tcPr>
            <w:tcW w:type="dxa" w:w="1560"/>
          </w:tcPr>
          <w:p>
            <w:r>
              <w:t>0.443</w:t>
            </w:r>
          </w:p>
        </w:tc>
        <w:tc>
          <w:tcPr>
            <w:tcW w:type="dxa" w:w="1560"/>
          </w:tcPr>
          <w:p>
            <w:r>
              <w:t>0.017</w:t>
            </w:r>
          </w:p>
        </w:tc>
        <w:tc>
          <w:tcPr>
            <w:tcW w:type="dxa" w:w="1560"/>
          </w:tcPr>
          <w:p>
            <w:r>
              <w:t>243</w:t>
            </w:r>
          </w:p>
        </w:tc>
        <w:tc>
          <w:tcPr>
            <w:tcW w:type="dxa" w:w="1560"/>
          </w:tcPr>
          <w:p>
            <w:r>
              <w:t>✓ Literature-supported (37-39)</w:t>
            </w:r>
          </w:p>
        </w:tc>
      </w:tr>
      <w:tr>
        <w:tc>
          <w:tcPr>
            <w:tcW w:type="dxa" w:w="1560"/>
          </w:tcPr>
          <w:p>
            <w:r>
              <w:t>5</w:t>
            </w:r>
          </w:p>
        </w:tc>
        <w:tc>
          <w:tcPr>
            <w:tcW w:type="dxa" w:w="1560"/>
          </w:tcPr>
          <w:p>
            <w:r>
              <w:t>THRA</w:t>
            </w:r>
          </w:p>
        </w:tc>
        <w:tc>
          <w:tcPr>
            <w:tcW w:type="dxa" w:w="1560"/>
          </w:tcPr>
          <w:p>
            <w:r>
              <w:t>0.408</w:t>
            </w:r>
          </w:p>
        </w:tc>
        <w:tc>
          <w:tcPr>
            <w:tcW w:type="dxa" w:w="1560"/>
          </w:tcPr>
          <w:p>
            <w:r>
              <w:t>0.006</w:t>
            </w:r>
          </w:p>
        </w:tc>
        <w:tc>
          <w:tcPr>
            <w:tcW w:type="dxa" w:w="1560"/>
          </w:tcPr>
          <w:p>
            <w:r>
              <w:t>81</w:t>
            </w:r>
          </w:p>
        </w:tc>
        <w:tc>
          <w:tcPr>
            <w:tcW w:type="dxa" w:w="1560"/>
          </w:tcPr>
          <w:p>
            <w:r>
              <w:t>Novel hypothesis</w:t>
            </w:r>
          </w:p>
        </w:tc>
      </w:tr>
      <w:tr>
        <w:tc>
          <w:tcPr>
            <w:tcW w:type="dxa" w:w="1560"/>
          </w:tcPr>
          <w:p>
            <w:r>
              <w:t>6</w:t>
            </w:r>
          </w:p>
        </w:tc>
        <w:tc>
          <w:tcPr>
            <w:tcW w:type="dxa" w:w="1560"/>
          </w:tcPr>
          <w:p>
            <w:r>
              <w:t>YAP1</w:t>
            </w:r>
          </w:p>
        </w:tc>
        <w:tc>
          <w:tcPr>
            <w:tcW w:type="dxa" w:w="1560"/>
          </w:tcPr>
          <w:p>
            <w:r>
              <w:t>0.402</w:t>
            </w:r>
          </w:p>
        </w:tc>
        <w:tc>
          <w:tcPr>
            <w:tcW w:type="dxa" w:w="1560"/>
          </w:tcPr>
          <w:p>
            <w:r>
              <w:t>0.014</w:t>
            </w:r>
          </w:p>
        </w:tc>
        <w:tc>
          <w:tcPr>
            <w:tcW w:type="dxa" w:w="1560"/>
          </w:tcPr>
          <w:p>
            <w:r>
              <w:t>207</w:t>
            </w:r>
          </w:p>
        </w:tc>
        <w:tc>
          <w:tcPr>
            <w:tcW w:type="dxa" w:w="1560"/>
          </w:tcPr>
          <w:p>
            <w:r>
              <w:t>✓ Literature-supported (32-35)</w:t>
            </w:r>
          </w:p>
        </w:tc>
      </w:tr>
      <w:tr>
        <w:tc>
          <w:tcPr>
            <w:tcW w:type="dxa" w:w="1560"/>
          </w:tcPr>
          <w:p>
            <w:r>
              <w:t>7</w:t>
            </w:r>
          </w:p>
        </w:tc>
        <w:tc>
          <w:tcPr>
            <w:tcW w:type="dxa" w:w="1560"/>
          </w:tcPr>
          <w:p>
            <w:r>
              <w:t>IKZF2</w:t>
            </w:r>
          </w:p>
        </w:tc>
        <w:tc>
          <w:tcPr>
            <w:tcW w:type="dxa" w:w="1560"/>
          </w:tcPr>
          <w:p>
            <w:r>
              <w:t>0.399</w:t>
            </w:r>
          </w:p>
        </w:tc>
        <w:tc>
          <w:tcPr>
            <w:tcW w:type="dxa" w:w="1560"/>
          </w:tcPr>
          <w:p>
            <w:r>
              <w:t>0.008</w:t>
            </w:r>
          </w:p>
        </w:tc>
        <w:tc>
          <w:tcPr>
            <w:tcW w:type="dxa" w:w="1560"/>
          </w:tcPr>
          <w:p>
            <w:r>
              <w:t>112</w:t>
            </w:r>
          </w:p>
        </w:tc>
        <w:tc>
          <w:tcPr>
            <w:tcW w:type="dxa" w:w="1560"/>
          </w:tcPr>
          <w:p>
            <w:r>
              <w:t>Novel hypothesis</w:t>
            </w:r>
          </w:p>
        </w:tc>
      </w:tr>
    </w:tbl>
    <w:p/>
    <w:p>
      <w:r>
        <w:t>Regulators ranked by PageRank (normalized [0-1]), a metric associated with drug target success per Mora &amp; Donaldson (2021). PageRank scores &gt;0.30 suggest high-quality network connections. Out-degree centrality (normalized [0-1]) measures downstream regulatory influence (hub identification). Downstream Targets column shows count of network connections. All 7 regulators contribute equally to TP53 direct regulation (14.3% each = 1/7 regulators). Literature status indicates whether published studies support functional interactions between the regulator and TP53. Three of seven high-ranking regulators (WWTR1, CHD4, YAP1) have literature support for TP53 interactions, demonstrating the framework identifies known functional interactors from network topology. Novel exploratory hypotheses (RBPMS, PRRX2, THRA, IKZF2) represent topology-based predictions requiring experimental validation—these should be interpreted as candidate regulators for testing, not confirmed functional interactors.</w:t>
      </w:r>
    </w:p>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p>
      <w:pPr>
        <w:pStyle w:val="Heading3"/>
        <w:keepNext/>
      </w:pPr>
      <w:r>
        <w:t>Cross-Cell-Type Regulatory Analysis</w:t>
      </w:r>
    </w:p>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p>
      <w:r>
        <w:t>Why is TP53 absent from immune cell networks? This observation is consistent with two biologically plausible mechanisms (requiring experimental validation to confirm):</w:t>
      </w:r>
    </w:p>
    <w:p/>
    <w:p>
      <w:r>
        <w:t>1. Low expression variability: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p>
      <w:r>
        <w:t>2. Alternative stress response pathways: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p>
      <w:r>
        <w:t>This cell-type specificity is consistent with biological expectations: epithelial tissues experience high oncogenic stress (environmental exposures, high proliferation rates, barrier function) that may necessitate robust TP53 tumor suppressor networks for genomic surveillance and cell fate decisions. In contrast, differentiated immune cells operate under different selective pressures—antigen response, immune homeostasis, and inflammatory regulation—where TP53's canonical tumor suppressor role may be less central to cellular function. The presence of TP53 regulatory activity in erythrocytes (precursor cells undergoing differentiation and DNA damage from oxidative stress) and NKT cells (semi-activated state) is consistent with this interpretation, as these represent intermediate functional states between proliferative and fully differentiated cells.</w:t>
      </w:r>
    </w:p>
    <w:p/>
    <w:p>
      <w:r>
        <w:t>Interpretation caveats: These observations represent biologically plausible hypotheses based on network topology and known cell biology, but definitive mechanistic conclusions would require experimental validation (e.g., single-cell TP53 expression profiling, knockout/inhibition experiments in immune cells). Cross-cell-type analysis reveals tissue-specific regulatory patterns that may inform understanding of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activity—though these therapeutic implications remain hypotheses requiring clinical validation.</w:t>
      </w:r>
    </w:p>
    <w:p/>
    <w:p>
      <w:pPr>
        <w:pStyle w:val="Heading3"/>
        <w:keepNext/>
      </w:pPr>
      <w:r>
        <w:t>Pathway Enrichment Analysis</w:t>
      </w:r>
    </w:p>
    <w:p/>
    <w:p>
      <w:r>
        <w:t>Reactome pathway enrichment for the TP53 regulatory network (TP53 + 7 regulators + top 10 targets) identified 16 statistically significant enriched pathways (FDR &lt; 0.05). Top pathways included:</w:t>
      </w:r>
    </w:p>
    <w:p/>
    <w:p>
      <w:r>
        <w:t>1. Regulation of TP53 Expression (FDR = 0.0033, 2/4 genes)</w:t>
      </w:r>
    </w:p>
    <w:p>
      <w:r>
        <w:t>2. RUNX3 regulates YAP1-mediated transcription (FDR = 0.0084, 2/9 genes)</w:t>
      </w:r>
    </w:p>
    <w:p>
      <w:r>
        <w:t>3. YAP1- and WWTR1 (TAZ)-stimulated gene expression (FDR = 0.020, 2/18 genes)</w:t>
      </w:r>
    </w:p>
    <w:p>
      <w:r>
        <w:t>4. Transcriptional regulation by RUNX3 (FDR = 0.020, 3/108 genes)</w:t>
      </w:r>
    </w:p>
    <w:p>
      <w:r>
        <w:t>5. Signaling by Hippo (FDR = 0.020, 2/22 genes)</w:t>
      </w:r>
    </w:p>
    <w:p/>
    <w:p>
      <w:r>
        <w:t>The enrichment of Hippo signaling pathways (YAP1/WWTR1-mediated transcription) directly validates therapeutic target prioritization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
    <w:p/>
    <w:p>
      <w:pPr>
        <w:pStyle w:val="Heading2"/>
        <w:keepNext/>
      </w:pPr>
      <w:r>
        <w:t>DISCUSSION</w:t>
      </w:r>
    </w:p>
    <w:p/>
    <w:p>
      <w:pPr>
        <w:pStyle w:val="Heading3"/>
        <w:keepNext/>
      </w:pPr>
      <w:r>
        <w:t>Principal Findings</w:t>
      </w:r>
    </w:p>
    <w:p/>
    <w:p>
      <w:r>
        <w:t>We developed RegNetAgents, a multi-agent AI framework that streamlines gene regulatory network analysis and makes sophisticated computational methods accessible to experimental biologists. The system integrates network modeling, automated network-based ranking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Therapeutic target prioritization for TP53 ranked highly literature-supported Hippo pathway interactors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The framework is designed as a hypothesis generation and experimental prioritization tool, not a replacement for experimental validation or expert biological interpretation.</w:t>
      </w:r>
    </w:p>
    <w:p/>
    <w:p>
      <w:pPr>
        <w:pStyle w:val="Heading3"/>
        <w:keepNext/>
      </w:pPr>
      <w:r>
        <w:t>Framework Validation Against Known Biology</w:t>
      </w:r>
    </w:p>
    <w:p/>
    <w:p>
      <w:r>
        <w:t>A critical question for any computational tool is whether it produces biologically meaningful results. Our colorectal cancer case study provides multiple lines of validation:</w:t>
      </w:r>
    </w:p>
    <w:p/>
    <w:p>
      <w:r>
        <w:t>1. Known regulatory relationships: TP53 therapeutic target prioritization ranked WWTR1 (TAZ) and YAP1 as top network neighbors (PageRank 0.473 and 0.402), both Hippo pathway effectors with documented functional interactions with TP53 in the literature. This ranking occurred purely from network topology analysis without pathway-specific knowledge. Note that ARACNe network edges represent statistical associations (mutual information) and do not necessarily indicate regulatory directionality; TP53 and Hippo pathway components exhibit bidirectional crosstalk in various contexts.</w:t>
      </w:r>
    </w:p>
    <w:p/>
    <w:p>
      <w:r>
        <w:t>2. Pathway-network concordance: Pathway enrichment independently identified Hippo signaling (FDR = 0.020), confirming biological coherence between network structure and pathway-level regulation.</w:t>
      </w:r>
    </w:p>
    <w:p/>
    <w:p>
      <w:r>
        <w:t>3. Network architecture alignment: Identified regulatory architectures (hub regulators vs. heavily regulated genes) align with known biological roles - TP53, MYC, and CTNNB1 as master regulatory hubs in tumor suppression and oncogenic signaling, while CCND1 and KRAS function as end-point effectors.</w:t>
      </w:r>
    </w:p>
    <w:p/>
    <w:p>
      <w:r>
        <w:t>These validations demonstrate the framework recapitulates established biology while generating novel testable hypotheses (RBPMS, PRRX2, THRA, IKZF2). This positions RegNetAgents as a reliable hypothesis generation tool for experimental biologists.</w:t>
      </w:r>
    </w:p>
    <w:p/>
    <w:p>
      <w:pPr>
        <w:pStyle w:val="Heading3"/>
        <w:keepNext/>
      </w:pPr>
      <w:r>
        <w:t>Comparison to Existing Approaches</w:t>
      </w:r>
    </w:p>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(40), while CARNIVAL infers causal networks from perturbation data (41). However, these tools lack conversational interfaces, require programming expertise, and do not provide automated therapeutic target prioritization via regulator ranking.</w:t>
      </w:r>
    </w:p>
    <w:p/>
    <w:p>
      <w:r>
        <w:t>RegNetAgents advances the field through four key innovations:</w:t>
      </w:r>
    </w:p>
    <w:p/>
    <w:p>
      <w:r>
        <w:t>1. Multi-Agent Parallelization: Four domain-specific agents (cancer, drug, clinical, systems) execute simultaneously, providing integrated biological perspectives in a single query. This contrasts with sequential manual workflows where researchers must separately consider each domain.</w:t>
      </w:r>
    </w:p>
    <w:p/>
    <w:p>
      <w:r>
        <w:t>2. Automated Therapeutic Target Prioritization: Network topology-based ranking identifies therapeutic target candidates by quantifying regulator centrality and connectivity. While gene expression prediction tools exist (e.g., cell2cell for cell-cell communication modeling (42)), our approach prioritizes regulators for experimental validation based on network architecture rather than attempting to predict expression changes, which require dynamic models and time-series experimental data currently unavailable at single-cell resolution across cell types.</w:t>
      </w:r>
    </w:p>
    <w:p/>
    <w:p>
      <w:r>
        <w:t>3. Conversational Interface: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p>
      <w:r>
        <w:t>4. Pre-Computed Cell-Type Networks: Leveraging pre-computed ARACNe networks for 10 cell types (prepared by the GREmLN team) enables instant cross-cell-type comparisons, revealing tissue-specific regulatory mechanisms critical for understanding disease susceptibility and therapeutic responses.</w:t>
      </w:r>
    </w:p>
    <w:p/>
    <w:p/>
    <w:p>
      <w:pPr>
        <w:pStyle w:val="Heading3"/>
        <w:keepNext/>
      </w:pPr>
      <w:r>
        <w:t>Performance Benchmarking Against Manual Workflows</w:t>
      </w:r>
    </w:p>
    <w:p/>
    <w:p>
      <w:r>
        <w:t>To contextualize the efficiency gains, we compared RegNetAgents to representative manual workflows researchers currently perform. Table 4 presents estimated time requirements for typical analysis tasks.</w:t>
      </w:r>
    </w:p>
    <w:p/>
    <w:p>
      <w:r>
        <w:br w:type="page"/>
      </w:r>
    </w:p>
    <w:p/>
    <w:p>
      <w:pPr>
        <w:keepNext/>
      </w:pPr>
      <w:r>
        <w:t>Table 4. Performance Comparison: Automated vs Manual Workflows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Task</w:t>
            </w:r>
          </w:p>
        </w:tc>
        <w:tc>
          <w:tcPr>
            <w:tcW w:type="dxa" w:w="2340"/>
          </w:tcPr>
          <w:p>
            <w:r>
              <w:rPr>
                <w:b/>
              </w:rPr>
              <w:t>Manual Workflow (Estimated)</w:t>
            </w:r>
          </w:p>
        </w:tc>
        <w:tc>
          <w:tcPr>
            <w:tcW w:type="dxa" w:w="2340"/>
          </w:tcPr>
          <w:p>
            <w:r>
              <w:rPr>
                <w:b/>
              </w:rPr>
              <w:t>RegNetAgents (Measured)</w:t>
            </w:r>
          </w:p>
        </w:tc>
        <w:tc>
          <w:tcPr>
            <w:tcW w:type="dxa" w:w="2340"/>
          </w:tcPr>
          <w:p>
            <w:r>
              <w:rPr>
                <w:b/>
              </w:rPr>
              <w:t>Speedup</w:t>
            </w:r>
          </w:p>
        </w:tc>
      </w:tr>
      <w:tr>
        <w:tc>
          <w:tcPr>
            <w:tcW w:type="dxa" w:w="2340"/>
          </w:tcPr>
          <w:p>
            <w:r>
              <w:t>Single gene network + regulators + targets</w:t>
            </w:r>
          </w:p>
        </w:tc>
        <w:tc>
          <w:tcPr>
            <w:tcW w:type="dxa" w:w="2340"/>
          </w:tcPr>
          <w:p>
            <w:r>
              <w:t>15-30 min (STRING/BioGRID query + export)</w:t>
            </w:r>
          </w:p>
        </w:tc>
        <w:tc>
          <w:tcPr>
            <w:tcW w:type="dxa" w:w="2340"/>
          </w:tcPr>
          <w:p>
            <w:r>
              <w:t>0.60 sec (rule-based)</w:t>
            </w:r>
          </w:p>
        </w:tc>
        <w:tc>
          <w:tcPr>
            <w:tcW w:type="dxa" w:w="2340"/>
          </w:tcPr>
          <w:p>
            <w:r>
              <w:t>~1,500-3,000×</w:t>
            </w:r>
          </w:p>
        </w:tc>
      </w:tr>
      <w:tr>
        <w:tc>
          <w:tcPr>
            <w:tcW w:type="dxa" w:w="2340"/>
          </w:tcPr>
          <w:p>
            <w:r>
              <w:t>Pathway enrichment (single gene)</w:t>
            </w:r>
          </w:p>
        </w:tc>
        <w:tc>
          <w:tcPr>
            <w:tcW w:type="dxa" w:w="2340"/>
          </w:tcPr>
          <w:p>
            <w:r>
              <w:t>10-15 min (Enrichr/DAVID upload + results)</w:t>
            </w:r>
          </w:p>
        </w:tc>
        <w:tc>
          <w:tcPr>
            <w:tcW w:type="dxa" w:w="2340"/>
          </w:tcPr>
          <w:p>
            <w:r>
              <w:t>1-3 sec (Reactome API)</w:t>
            </w:r>
          </w:p>
        </w:tc>
        <w:tc>
          <w:tcPr>
            <w:tcW w:type="dxa" w:w="2340"/>
          </w:tcPr>
          <w:p>
            <w:r>
              <w:t>~200-900×</w:t>
            </w:r>
          </w:p>
        </w:tc>
      </w:tr>
      <w:tr>
        <w:tc>
          <w:tcPr>
            <w:tcW w:type="dxa" w:w="2340"/>
          </w:tcPr>
          <w:p>
            <w:r>
              <w:t>Therapeutic target prioritization (7 regulators)</w:t>
            </w:r>
          </w:p>
        </w:tc>
        <w:tc>
          <w:tcPr>
            <w:tcW w:type="dxa" w:w="2340"/>
          </w:tcPr>
          <w:p>
            <w:r>
              <w:t>2-4 hours (literature curation per regulator)</w:t>
            </w:r>
          </w:p>
        </w:tc>
        <w:tc>
          <w:tcPr>
            <w:tcW w:type="dxa" w:w="2340"/>
          </w:tcPr>
          <w:p>
            <w:r>
              <w:t>0.60 sec (automated ranking)</w:t>
            </w:r>
          </w:p>
        </w:tc>
        <w:tc>
          <w:tcPr>
            <w:tcW w:type="dxa" w:w="2340"/>
          </w:tcPr>
          <w:p>
            <w:r>
              <w:t>~12,000-24,000×</w:t>
            </w:r>
          </w:p>
        </w:tc>
      </w:tr>
      <w:tr>
        <w:tc>
          <w:tcPr>
            <w:tcW w:type="dxa" w:w="2340"/>
          </w:tcPr>
          <w:p>
            <w:r>
              <w:t>Multi-domain interpretation (4 domains)</w:t>
            </w:r>
          </w:p>
        </w:tc>
        <w:tc>
          <w:tcPr>
            <w:tcW w:type="dxa" w:w="2340"/>
          </w:tcPr>
          <w:p>
            <w:r>
              <w:t>1-2 hours (sequential literature review)</w:t>
            </w:r>
          </w:p>
        </w:tc>
        <w:tc>
          <w:tcPr>
            <w:tcW w:type="dxa" w:w="2340"/>
          </w:tcPr>
          <w:p>
            <w:r>
              <w:t>~12 sec (4 parallel agents)</w:t>
            </w:r>
          </w:p>
        </w:tc>
        <w:tc>
          <w:tcPr>
            <w:tcW w:type="dxa" w:w="2340"/>
          </w:tcPr>
          <w:p>
            <w:r>
              <w:t>~300-600×</w:t>
            </w:r>
          </w:p>
        </w:tc>
      </w:tr>
      <w:tr>
        <w:tc>
          <w:tcPr>
            <w:tcW w:type="dxa" w:w="2340"/>
          </w:tcPr>
          <w:p>
            <w:r>
              <w:t>5-gene comprehensive analysis</w:t>
            </w:r>
          </w:p>
        </w:tc>
        <w:tc>
          <w:tcPr>
            <w:tcW w:type="dxa" w:w="2340"/>
          </w:tcPr>
          <w:p>
            <w:r>
              <w:t>8-16 hours (serial per-gene workflow)</w:t>
            </w:r>
          </w:p>
        </w:tc>
        <w:tc>
          <w:tcPr>
            <w:tcW w:type="dxa" w:w="2340"/>
          </w:tcPr>
          <w:p>
            <w:r>
              <w:t>15.49 sec (rule-based)</w:t>
            </w:r>
          </w:p>
        </w:tc>
        <w:tc>
          <w:tcPr>
            <w:tcW w:type="dxa" w:w="2340"/>
          </w:tcPr>
          <w:p>
            <w:r>
              <w:t>~1,900-3,700×</w:t>
            </w:r>
          </w:p>
        </w:tc>
      </w:tr>
      <w:tr>
        <w:tc>
          <w:tcPr>
            <w:tcW w:type="dxa" w:w="2340"/>
          </w:tcPr>
          <w:p>
            <w:r>
              <w:t>Cross-cell-type comparison (10 types)</w:t>
            </w:r>
          </w:p>
        </w:tc>
        <w:tc>
          <w:tcPr>
            <w:tcW w:type="dxa" w:w="2340"/>
          </w:tcPr>
          <w:p>
            <w:r>
              <w:t>4-8 hours (repeat workflow per type)</w:t>
            </w:r>
          </w:p>
        </w:tc>
        <w:tc>
          <w:tcPr>
            <w:tcW w:type="dxa" w:w="2340"/>
          </w:tcPr>
          <w:p>
            <w:r>
              <w:t>&lt;0.01 sec (pre-indexed)</w:t>
            </w:r>
          </w:p>
        </w:tc>
        <w:tc>
          <w:tcPr>
            <w:tcW w:type="dxa" w:w="2340"/>
          </w:tcPr>
          <w:p>
            <w:r>
              <w:t>&gt;1,000,000×</w:t>
            </w:r>
          </w:p>
        </w:tc>
      </w:tr>
    </w:tbl>
    <w:p/>
    <w:p>
      <w:r>
        <w:t>Manual workflow estimates reflect typical researcher timings for querying databases (STRING, BioGRID, Enrichr, DAVID), downloading results, performing literature searches for domain-specific context, and manually integrating findings. Times exclude reading/interpretation and represent only data acquisition and basic analysis. RegNetAgents times measured on standard laptop (Intel i7, 16GB RAM) via Claude Desktop integration. Speedup calculated as (manual time)/(automated time).</w:t>
      </w:r>
    </w:p>
    <w:p/>
    <w:p>
      <w:r>
        <w:t>Key observations: The most dramatic speedups occur for tasks requiring integration across multiple sources (therapeutic target prioritization, multi-domain interpretation, cross-cell comparisons) where manual workflows require serial processing. Even simple network queries show 3-4 orders of magnitude improvement due to pre-computed caches eliminating web interface interactions. These performance gains enable exploratory hypothesis generation at scales impractical for manual workflows, though the framework outputs should always be validated through experimental follow-up.</w:t>
      </w:r>
    </w:p>
    <w:p/>
    <w:p>
      <w:r>
        <w:br w:type="page"/>
      </w:r>
    </w:p>
    <w:p/>
    <w:p>
      <w:pPr>
        <w:pStyle w:val="Heading3"/>
        <w:keepNext/>
      </w:pPr>
      <w:r>
        <w:t>Biological Insights from Case Studies</w:t>
      </w:r>
    </w:p>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therapeutic target prioritization revealed distributed regulatory control (7 regulators, each ~14% contribution), suggesting combinatorial therapeutic strategies may be necessary. The identification of YAP1/WWTR1 (Hippo pathway effectors) as top regulators aligns with recent interest in Hippo pathway-targeted therapies (34,35), demonstrating the framework can recapitulate and extend experimentally derived therapeutic hypotheses.</w:t>
      </w:r>
    </w:p>
    <w:p/>
    <w:p>
      <w:pPr>
        <w:pStyle w:val="Heading3"/>
        <w:keepNext/>
      </w:pPr>
      <w:r>
        <w:t>Limitations</w:t>
      </w:r>
    </w:p>
    <w:p/>
    <w:p>
      <w:r>
        <w:t>RegNetAgents is designed as a hypothesis generation tool, not a replacement for experimental validation. Several important limitations warrant consideration when interpreting results:</w:t>
      </w:r>
    </w:p>
    <w:p/>
    <w:p>
      <w:r>
        <w:t>Scope of Analyses: All analyses performed by RegNetAgents are hypothesis-generating only and do not predict causal regulatory relationships. Network-based rankings and pathway enrichments identify candidates for experimental validation, not validated therapeutic targets or causal mechanisms.</w:t>
      </w:r>
    </w:p>
    <w:p/>
    <w:p>
      <w:r>
        <w:t>Validation Scope: Framework demonstration was conducted on a focused panel of five well-characterized colorectal cancer biomarkers (MYC, CTNNB1, CCND1, TP53, KRAS), showing complete concordance with published literature across this limited sample. While this provides evidence of biological validity for this specific gene set, broader systematic benchmarking across larger gene panels and diverse disease contexts is needed to establish generalizability. The five-gene demonstration serves as proof-of-concept rather than comprehensive validation across the full spectrum of human genes and regulatory relationships. Nevertheless, the framework's modular design enables application to any gene set or cancer type, with validation scope expandable based on specific research questions. Supplementary Table S2 presents additional validation using 7 cervical cancer-associated genes, demonstrating framework generalizability beyond colorectal cancer.</w:t>
      </w:r>
    </w:p>
    <w:p/>
    <w:p>
      <w:r>
        <w:t>Network Scope: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p>
      <w:r>
        <w:t>Topology-Based Ranking: The framework ranks regulators based on network centrality metrics (PageRank, degree centrality) rather than predicting gene expression changes. This design choice reflects data availability—dynamic gene expression prediction requires time-series knockout/inhibition experiments currently unavailable at single-cell resolution across cell types. Topology-based ranking identifies regulators for experimental validation rather than replacing experimental studies. Experimental validation remains essential to confirm predicted regulatory relationships and quantify expression changes.</w:t>
      </w:r>
    </w:p>
    <w:p/>
    <w:p>
      <w:r>
        <w:t>Network Construction Methodology: ARACNe networks are reconstructed from scRNA-seq data using mutual information on the top 1,024 highly variable genes. Several important limitations apply: (1) Genes with low or uniform expression across cells will not appear in networks, potentially missing important regulators with constitutive low expression; (2) ARACNe identifies correlation-based statistical associations (mutual information) rather than directional regulatory relationships—network edges represent co-expression patterns that suggest potential regulation but do not confirm regulatory directionality or direct transcription factor binding; (3) False positive rates in inferred networks depend on sample size and data quality, meaning not all identified edges represent true biological regulation; (4) The method assumes steady-state gene expression and may not capture dynamic or transient regulatory relationships. Chromatin immunoprecipitation (ChIP-seq) data could complement networks with binding-site information to confirm regulatory directionality, though such data are not yet available at single-cell resolution across diverse cell types. Users should interpret network edges as hypotheses about regulatory relationships requiring experimental validation, not as established causal mechanisms.</w:t>
      </w:r>
    </w:p>
    <w:p/>
    <w:p>
      <w:r>
        <w:t>Pathway Enrichment Dependence: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p>
      <w:r>
        <w:t>Prototype Implementation: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
      <w:pPr>
        <w:pStyle w:val="Heading3"/>
        <w:keepNext/>
      </w:pPr>
      <w:r>
        <w:t>Future Directions</w:t>
      </w:r>
    </w:p>
    <w:p/>
    <w:p>
      <w:r>
        <w:t>Several extensions could enhance RegNetAgents' capabilities while maintaining simplicity and accessibility:</w:t>
      </w:r>
    </w:p>
    <w:p/>
    <w:p>
      <w:r>
        <w:t>Expanded Cell Type Coverage: Integration of additional cell types from CellxGene as new datasets become available. The existing preprocessing pipeline can be applied to new cell types (cardiomyocytes, neurons, hepatocytes) to broaden disease applicability without requiring new methodologies.</w:t>
      </w:r>
    </w:p>
    <w:p/>
    <w:p>
      <w:r>
        <w:t>Additional Gene Databases: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p>
      <w:r>
        <w:t>Performance Optimization: Caching strategies for frequently queried genes and pathway results could further reduce latency for common use cases. Pre-computation of centrality metrics for additional cell types would eliminate first-query overhead.</w:t>
      </w:r>
    </w:p>
    <w:p/>
    <w:p>
      <w:r>
        <w:t>Web Deployment: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
      <w:pPr>
        <w:pStyle w:val="Heading3"/>
        <w:keepNext/>
      </w:pPr>
      <w:r>
        <w:t>Broader Impact and Intended Use</w:t>
      </w:r>
    </w:p>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p>
      <w:r>
        <w:t>Intended Use: The framework is designed for hypothesis generation and experimental prioritization, not for making clinical decisions or claiming novel biological discoveries. Users should:</w:t>
      </w:r>
    </w:p>
    <w:p>
      <w:r>
        <w:t>1. Validate hypotheses experimentally - Network predictions require experimental confirmation</w:t>
      </w:r>
    </w:p>
    <w:p>
      <w:r>
        <w:t>2. Consult domain experts - Biological interpretations should be reviewed by specialists</w:t>
      </w:r>
    </w:p>
    <w:p>
      <w:r>
        <w:t>3. Consider limitations - Topology-based analysis does not predict dynamic gene expression changes</w:t>
      </w:r>
    </w:p>
    <w:p>
      <w:r>
        <w:t>4. Review literature - Framework outputs should be compared against current biological knowledge</w:t>
      </w:r>
    </w:p>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
    <w:p/>
    <w:p>
      <w:r>
        <w:br w:type="page"/>
      </w:r>
    </w:p>
    <w:p>
      <w:pPr>
        <w:pStyle w:val="Heading2"/>
        <w:keepNext/>
      </w:pPr>
      <w:r>
        <w:t>CONCLUSIONS</w:t>
      </w:r>
    </w:p>
    <w:p/>
    <w:p>
      <w:r>
        <w:t>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therapeutic target prioritization ranked highly literature-supported TP53 interactors alongside novel candidates, demonstrating utility for hypothesis generation and experimental prioritization. The conversational interface via Model Context Protocol enables natural language queries without programming expertise. By integrating network analysis, network-based target ranking,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This framework is intended as a hypothesis generation tool to assist researchers, not as a replacement for experimental validation or expert biological interpretation.</w:t>
      </w:r>
    </w:p>
    <w:p/>
    <w:p/>
    <w:p/>
    <w:p>
      <w:pPr>
        <w:pStyle w:val="Heading2"/>
        <w:keepNext/>
      </w:pPr>
      <w:r>
        <w:t>ACKNOWLEDGMENTS</w:t>
      </w:r>
    </w:p>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p>
      <w:r>
        <w:t>Development Note: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
    <w:p/>
    <w:p>
      <w:pPr>
        <w:pStyle w:val="Heading2"/>
        <w:keepNext/>
      </w:pPr>
      <w:r>
        <w:t>AUTHOR CONTRIBUTIONS</w:t>
      </w:r>
    </w:p>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
    <w:p/>
    <w:p>
      <w:pPr>
        <w:pStyle w:val="Heading2"/>
        <w:keepNext/>
      </w:pPr>
      <w:r>
        <w:t>COMPETING INTERESTS</w:t>
      </w:r>
    </w:p>
    <w:p/>
    <w:p>
      <w:r>
        <w:t>The authors declare no competing interests.</w:t>
      </w:r>
    </w:p>
    <w:p/>
    <w:p/>
    <w:p/>
    <w:p>
      <w:r>
        <w:br w:type="page"/>
      </w:r>
    </w:p>
    <w:p/>
    <w:p>
      <w:pPr>
        <w:pStyle w:val="Heading2"/>
        <w:keepNext/>
      </w:pPr>
      <w:r>
        <w:t>REFERENCES</w:t>
      </w:r>
    </w:p>
    <w:p/>
    <w:p>
      <w:r>
        <w:t>1. Babu MM, Luscombe NM, Aravind L, Gerstein M, Teichmann SA. Structure and evolution of transcriptional regulatory networks. Curr Opin Struct Biol. 2004;14(3):283-291.</w:t>
      </w:r>
    </w:p>
    <w:p/>
    <w:p>
      <w:r>
        <w:t>2. Davidson EH, Levine MS. Properties of developmental gene regulatory networks. Proc Natl Acad Sci USA. 2008;105(51):20063-20066.</w:t>
      </w:r>
    </w:p>
    <w:p/>
    <w:p>
      <w:r>
        <w:t>3. Califano A, Alvarez MJ. The recurrent architecture of tumour initiation, progression and drug sensitivity. Nat Rev Cancer. 2017;17(2):116-130.</w:t>
      </w:r>
    </w:p>
    <w:p/>
    <w:p>
      <w:r>
        <w:t>4. Sonawane AR, Platig J, Fagny M, et al. Understanding tissue-specific gene regulation. Cell Rep. 2017;21(4):1077-1088.</w:t>
      </w:r>
    </w:p>
    <w:p/>
    <w:p>
      <w:r>
        <w:t>5. Aibar S, González-Blas CB, Moerman T, et al. SCENIC: single-cell regulatory network inference and clustering. Nat Methods. 2017;14(11):1083-1086.</w:t>
      </w:r>
    </w:p>
    <w:p/>
    <w:p>
      <w:r>
        <w:t>6. Kamimoto K, Stringa B, Hoffmann CM, et al. Dissecting cell identity via network inference and in silico gene perturbation. Nature. 2023;614(7949):742-751.</w:t>
      </w:r>
    </w:p>
    <w:p/>
    <w:p>
      <w:r>
        <w:t>7. Szklarczyk D, Gable AL, Nastou KC, et al. The STRING database in 2021: customizable protein-protein networks, and functional characterization of user-uploaded gene/measurement sets. Nucleic Acids Res. 2021;49(D1):D605-D612.</w:t>
      </w:r>
    </w:p>
    <w:p/>
    <w:p>
      <w:r>
        <w:t>8. Oughtred R, Rust J, Chang C, et al. The BioGRID database: A comprehensive biomedical resource of curated protein, genetic, and chemical interactions. Protein Sci. 2021;30(1):187-200.</w:t>
      </w:r>
    </w:p>
    <w:p/>
    <w:p>
      <w:r>
        <w:t>9. Chen EY, Tan CM, Kou Y, et al. Enrichr: interactive and collaborative HTML5 gene list enrichment analysis tool. BMC Bioinformatics. 2013;14:128.</w:t>
      </w:r>
    </w:p>
    <w:p/>
    <w:p>
      <w:r>
        <w:t>10. Sherman BT, Hao M, Qiu J, et al. DAVID: a web server for functional enrichment analysis and functional annotation of gene lists (2021 update). Nucleic Acids Res. 2022;50(W1):W216-W221.</w:t>
      </w:r>
    </w:p>
    <w:p/>
    <w:p>
      <w:r>
        <w:t>11. Wooldridge M. An Introduction to MultiAgent Systems. 2nd ed. Wiley; 2009.</w:t>
      </w:r>
    </w:p>
    <w:p/>
    <w:p>
      <w:r>
        <w:t>12. LangGraph Documentation. LangChain AI. https://langchain-ai.github.io/langgraph/</w:t>
      </w:r>
    </w:p>
    <w:p/>
    <w:p>
      <w:r>
        <w:t>13. Anthropic. Model Context Protocol Documentation. https://modelcontextprotocol.io</w:t>
      </w:r>
    </w:p>
    <w:p/>
    <w:p>
      <w:r>
        <w:t>14. Zhang M, Swamy V, Cassius R, Dupire L, Karaletsos T, Califano A. GREmLN: A Cellular Graph Structure Aware Transcriptomics Foundation Model. bioRxiv. 2025. doi:10.1101/2025.07.03.663009</w:t>
      </w:r>
    </w:p>
    <w:p/>
    <w:p>
      <w:r>
        <w:t>15. Megill C, Martin B, Weaver C, et al. cellxgene: a performant, scalable exploration platform for high dimensional sparse matrices. bioRxiv. 2021. doi:10.1101/2021.04.05.438318</w:t>
      </w:r>
    </w:p>
    <w:p/>
    <w:p>
      <w:r>
        <w:t>16. Margolin AA, Nemenman I, Basso K, et al. ARACNE: an algorithm for the reconstruction of gene regulatory networks in a mammalian cellular context. BMC Bioinformatics. 2006;7(Suppl 1):S7.</w:t>
      </w:r>
    </w:p>
    <w:p/>
    <w:p>
      <w:r>
        <w:t>17. Lachmann A, Giorgi FM, Lopez G, Califano A. ARACNe-AP: gene network reverse engineering through adaptive partitioning inference of mutual information. Bioinformatics. 2016;32(14):2233-2235.</w:t>
      </w:r>
    </w:p>
    <w:p/>
    <w:p>
      <w:r>
        <w:t>18. Gillespie M, Jassal B, Stephan R, et al. The reactome pathway knowledgebase 2022. Nucleic Acids Res. 2022;50(D1):D687-D692.</w:t>
      </w:r>
    </w:p>
    <w:p/>
    <w:p>
      <w:r>
        <w:t>19. Yates AD, Achuthan P, Akanni W, et al. Ensembl 2020. Nucleic Acids Res. 2020;48(D1):D682-D688.</w:t>
      </w:r>
    </w:p>
    <w:p/>
    <w:p>
      <w:r>
        <w:t>20. Hagberg AA, Schult DA, Swart PJ. Exploring network structure, dynamics, and function using NetworkX. Proceedings of the 7th Python in Science Conference (SciPy 2008); 2008. p. 11-15.</w:t>
      </w:r>
    </w:p>
    <w:p/>
    <w:p>
      <w:r>
        <w:t>21. Koschützki D, Schreiber F. Centrality analysis methods for biological networks and their application to gene regulatory networks. Gene Regulation and Systems Biology. 2008;2:GRSB.S702.</w:t>
      </w:r>
    </w:p>
    <w:p/>
    <w:p>
      <w:r>
        <w:t>22. Mora A, Donaldson IM. Effects of protein interaction data integration, representation and reliability on the use of network properties for drug target prediction. BMC Bioinformatics. 2021;22(1):1-29. doi:10.1186/s12859-021-04042-6</w:t>
      </w:r>
    </w:p>
    <w:p/>
    <w:p>
      <w:r>
        <w:t>23. Erisman MD, Rothberg PG, Diehl RE, Morse CC, Spandorfer JM, Astrin SM. Deregulation of c-myc gene expression in human colon carcinoma is not accompanied by amplification or rearrangement of the gene. Mol Cell Biol. 1985;5(8):1969-1976.</w:t>
      </w:r>
    </w:p>
    <w:p/>
    <w:p>
      <w:r>
        <w:t>24. Sears R, Nuckolls F, Haura E, Taya Y, Tamai K, Nevins JR. Multiple Ras-dependent phosphorylation pathways regulate Myc protein stability. Genes Dev. 2000;14(19):2501-2514.</w:t>
      </w:r>
    </w:p>
    <w:p/>
    <w:p>
      <w:r>
        <w:t>25. Morin PJ, Sparks AB, Korinek V, et al. Activation of beta-catenin-Tcf signaling in colon cancer by mutations in beta-catenin or APC. Science. 1997;275(5307):1787-1790.</w:t>
      </w:r>
    </w:p>
    <w:p/>
    <w:p>
      <w:r>
        <w:t>26. Segditsas S, Tomlinson I. Colorectal cancer and genetic alterations in the Wnt pathway. Oncogene. 2006;25(57):7531-7537.</w:t>
      </w:r>
    </w:p>
    <w:p/>
    <w:p>
      <w:r>
        <w:t>27. Bartkova J, Lukas J, Strauss M, Bartek J. Cyclin D1 oncoprotein aberrantly accumulates in malignancies of diverse histogenesis. Oncogene. 1995;10(4):775-778.</w:t>
      </w:r>
    </w:p>
    <w:p/>
    <w:p>
      <w:r>
        <w:t>28. Iacopetta B. TP53 mutation in colorectal cancer. Hum Mutat. 2003;21(3):271-276.</w:t>
      </w:r>
    </w:p>
    <w:p/>
    <w:p>
      <w:r>
        <w:t>29. Olivier M, Hollstein M, Hainaut P. TP53 mutations in human cancers: origins, consequences, and clinical use. Cold Spring Harb Perspect Biol. 2010;2(1):a001008.</w:t>
      </w:r>
    </w:p>
    <w:p/>
    <w:p>
      <w:r>
        <w:t>30. Lievre A, Bachet JB, Le Corre D, et al. KRAS mutation status is predictive of response to cetuximab therapy in colorectal cancer. Cancer Res. 2006;66(8):3992-3995.</w:t>
      </w:r>
    </w:p>
    <w:p/>
    <w:p>
      <w:r>
        <w:t>31. Karapetis CS, Khambata-Ford S, Jonker DJ, et al. K-ras mutations and benefit from cetuximab in advanced colorectal cancer. N Engl J Med. 2008;359(17):1757-1765.</w:t>
      </w:r>
    </w:p>
    <w:p/>
    <w:p>
      <w:r>
        <w:t>32. Strano S, Monti O, Pediconi N, et al. The transcriptional coactivator Yes-associated protein drives p73 gene-target specificity in response to DNA damage. Mol Cell. 2005;18(4):447-459.</w:t>
      </w:r>
    </w:p>
    <w:p/>
    <w:p>
      <w:r>
        <w:t>33. Levy D, Adamovich Y, Reuven N, Shaul Y. Yap1 phosphorylation by c-Abl is a critical step in selective activation of proapoptotic genes in response to DNA damage. Mol Cell. 2008;29(3):350-361.</w:t>
      </w:r>
    </w:p>
    <w:p/>
    <w:p>
      <w:r>
        <w:t>34. Zanconato F, Cordenonsi M, Piccolo S. YAP and TAZ: a signalling hub of the tumour microenvironment. Nat Rev Cancer. 2019;19(8):454-464.</w:t>
      </w:r>
    </w:p>
    <w:p/>
    <w:p>
      <w:r>
        <w:t>35. Zhao B, Tumaneng K, Guan KL. The Hippo pathway in organ size control, tissue regeneration and stem cell self-renewal. Nat Cell Biol. 2011;13(8):877-883.</w:t>
      </w:r>
    </w:p>
    <w:p/>
    <w:p>
      <w:r>
        <w:t>36. Sagnol S, Yang Y, Bessin Y, et al. Homodimerization of RBPMS2 through a new RRM-interaction motif is necessary to control smooth muscle plasticity. Nucleic Acids Res. 2014;42(15):10173-10184.</w:t>
      </w:r>
    </w:p>
    <w:p/>
    <w:p>
      <w:r>
        <w:t>37. Polo SE, Kaidi A, Baskcomb L, Galanty Y, Jackson SP. Regulation of DNA-damage responses and cell-cycle progression by the chromatin remodelling factor CHD4. EMBO J. 2010;29(18):3130-3139.</w:t>
      </w:r>
    </w:p>
    <w:p/>
    <w:p>
      <w:r>
        <w:t>38. Larsen DH, Poinsignon C, Gudjonsson T, et al. The chromatin-remodeling factor CHD4 coordinates signaling and repair after DNA damage. J Cell Biol. 2010;190(5):731-740.</w:t>
      </w:r>
    </w:p>
    <w:p/>
    <w:p>
      <w:r>
        <w:t>39. Smeenk G, Wiegant WW, Vrolijk H, et al. The NuRD chromatin-remodeling complex regulates signaling and repair of DNA damage. J Cell Biol. 2010;190(5):741-749.</w:t>
      </w:r>
    </w:p>
    <w:p/>
    <w:p>
      <w:r>
        <w:t>40. Zhou G, Soufan O, Ewald J, Hancock REW, Basu N, Xia J. NetworkAnalyst 3.0: a visual analytics platform for comprehensive gene expression profiling and meta-analysis. Nucleic Acids Res. 2019;47(W1):W234-W241.</w:t>
      </w:r>
    </w:p>
    <w:p/>
    <w:p>
      <w:r>
        <w:t>41. Liu A, Trairatphisan P, Gjerga E, et al. From expression footprints to causal pathways: contextualizing large signaling networks with CARNIVAL. NPJ Syst Biol Appl. 2019;5:40.</w:t>
      </w:r>
    </w:p>
    <w:p/>
    <w:p>
      <w:r>
        <w:t>42. Shao DD, Xue W, Krall EB, et al. KRAS and YAP1 converge to regulate EMT and tumor survival. Cell. 2014;158(1):171-184.</w:t>
      </w:r>
    </w:p>
    <w:p/>
    <w:p/>
    <w:p/>
    <w:p>
      <w:r>
        <w:br w:type="page"/>
      </w:r>
    </w:p>
    <w:p/>
    <w:p>
      <w:pPr>
        <w:pStyle w:val="Heading2"/>
        <w:keepNext/>
      </w:pPr>
      <w:r>
        <w:t>FIGURE LEGENDS</w:t>
      </w:r>
    </w:p>
    <w:p/>
    <w:p>
      <w: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therapeutic target prioritization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p>
      <w:r>
        <w:t>Figure 2.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therapeutic target prioritization,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
      <w:r>
        <w:t>Figure 3.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orange = heavily regulated, blue = weakly regulated). TP53, MYC, and CTNNB1 emerge as central hubs with extensive downstream connectivity. (B) Bar chart comparing number of regulators (left) and targets (right) for each gene. (C) Biomarker type classification showing diagnostic, prognostic, and predictive categories.</w:t>
      </w:r>
    </w:p>
    <w:p/>
    <w:p>
      <w:r>
        <w:t>Figure 4. TP53 Therapeutic Target Prioritization and Regulator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p>
      <w:r>
        <w:br w:type="page"/>
      </w:r>
    </w:p>
    <w:p/>
    <w:p>
      <w:pPr>
        <w:pStyle w:val="Heading2"/>
        <w:keepNext/>
      </w:pPr>
      <w:r>
        <w:t>DATA AVAILABILITY</w:t>
      </w:r>
    </w:p>
    <w:p/>
    <w:p>
      <w:r>
        <w:t>All data and results needed to evaluate the conclusions in the paper are present in the paper and/or the figures.</w:t>
      </w:r>
    </w:p>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p>
      <w:r>
        <w:t>Raw analysis outputs (JSON format) for the case study analyses presented in this manuscript are available from the corresponding author upon reasonable request.</w:t>
      </w:r>
    </w:p>
    <w:p/>
    <w:p>
      <w:r>
        <w:t>Supplementary Material: Complete LLM prompt templates for all four domain agents, prompt engineering notes, and reproducibility instructions are provided in Supplementary Material (Table S1).</w:t>
      </w:r>
    </w:p>
    <w:p/>
    <w:p>
      <w:pPr>
        <w:pStyle w:val="Heading2"/>
        <w:keepNext/>
      </w:pPr>
      <w:r>
        <w:t>CODE AVAILABILITY</w:t>
      </w:r>
    </w:p>
    <w:p/>
    <w:p>
      <w:r>
        <w:t>The RegNetAgents software implementation is publicly available at https://github.com/jab57/RegNetAgents under the MIT License.</w:t>
      </w:r>
    </w:p>
    <w:p/>
    <w:p>
      <w:r>
        <w:t>Installation requires Python 3.8+ and takes approximately 5-10 minutes. Network data files (pre-computed ARACNe networks from the GREmLN team) are downloaded from the GREmLN Quickstart Tutorial as documented in the repository README. All analytical methods and workflow orchestration code are provided to facilitate independent use and extension by the research community.</w:t>
      </w:r>
    </w:p>
    <w:p/>
    <w:p>
      <w:r>
        <w:br w:type="page"/>
      </w:r>
    </w:p>
    <w:p/>
    <w:p>
      <w:r>
        <w:t>Example JSON Output: The framework returns structured JSON responses. Example for TP53 analysis (abbreviated):</w:t>
      </w:r>
    </w:p>
    <w:p>
      <w:pPr>
        <w:spacing w:before="0" w:after="0" w:line="240" w:lineRule="auto"/>
        <w:ind w:left="576"/>
      </w:pPr>
      <w:r>
        <w:rPr>
          <w:rFonts w:ascii="Courier New" w:hAnsi="Courier New"/>
          <w:sz w:val="16"/>
        </w:rPr>
        <w:t>{</w:t>
      </w:r>
    </w:p>
    <w:p>
      <w:pPr>
        <w:spacing w:before="0" w:after="0" w:line="240" w:lineRule="auto"/>
        <w:ind w:left="576"/>
      </w:pPr>
      <w:r>
        <w:rPr>
          <w:rFonts w:ascii="Courier New" w:hAnsi="Courier New"/>
          <w:sz w:val="16"/>
        </w:rPr>
        <w:t xml:space="preserve">  "gene_analysis_summary": {</w:t>
      </w:r>
    </w:p>
    <w:p>
      <w:pPr>
        <w:spacing w:before="0" w:after="0" w:line="240" w:lineRule="auto"/>
        <w:ind w:left="576"/>
      </w:pPr>
      <w:r>
        <w:rPr>
          <w:rFonts w:ascii="Courier New" w:hAnsi="Courier New"/>
          <w:sz w:val="16"/>
        </w:rPr>
        <w:t xml:space="preserve">    "gene": "TP53",</w:t>
      </w:r>
    </w:p>
    <w:p>
      <w:pPr>
        <w:spacing w:before="0" w:after="0" w:line="240" w:lineRule="auto"/>
        <w:ind w:left="576"/>
      </w:pPr>
      <w:r>
        <w:rPr>
          <w:rFonts w:ascii="Courier New" w:hAnsi="Courier New"/>
          <w:sz w:val="16"/>
        </w:rPr>
        <w:t xml:space="preserve">    "cell_type": "epithelial_cell",</w:t>
      </w:r>
    </w:p>
    <w:p>
      <w:pPr>
        <w:spacing w:before="0" w:after="0" w:line="240" w:lineRule="auto"/>
        <w:ind w:left="576"/>
      </w:pPr>
      <w:r>
        <w:rPr>
          <w:rFonts w:ascii="Courier New" w:hAnsi="Courier New"/>
          <w:sz w:val="16"/>
        </w:rPr>
        <w:t xml:space="preserve">    "regulatory_role": "hub_regulator"</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"network_analysis": {</w:t>
      </w:r>
    </w:p>
    <w:p>
      <w:pPr>
        <w:spacing w:before="0" w:after="0" w:line="240" w:lineRule="auto"/>
        <w:ind w:left="576"/>
      </w:pPr>
      <w:r>
        <w:rPr>
          <w:rFonts w:ascii="Courier New" w:hAnsi="Courier New"/>
          <w:sz w:val="16"/>
        </w:rPr>
        <w:t xml:space="preserve">    "num_regulators": 7,</w:t>
      </w:r>
    </w:p>
    <w:p>
      <w:pPr>
        <w:spacing w:before="0" w:after="0" w:line="240" w:lineRule="auto"/>
        <w:ind w:left="576"/>
      </w:pPr>
      <w:r>
        <w:rPr>
          <w:rFonts w:ascii="Courier New" w:hAnsi="Courier New"/>
          <w:sz w:val="16"/>
        </w:rPr>
        <w:t xml:space="preserve">    "num_targets": 163,</w:t>
      </w:r>
    </w:p>
    <w:p>
      <w:pPr>
        <w:spacing w:before="0" w:after="0" w:line="240" w:lineRule="auto"/>
        <w:ind w:left="576"/>
      </w:pPr>
      <w:r>
        <w:rPr>
          <w:rFonts w:ascii="Courier New" w:hAnsi="Courier New"/>
          <w:sz w:val="16"/>
        </w:rPr>
        <w:t xml:space="preserve">    "regulatory_role": "hub_regulator"</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"therapeutic_target_prioritization": {</w:t>
      </w:r>
    </w:p>
    <w:p>
      <w:pPr>
        <w:spacing w:before="0" w:after="0" w:line="240" w:lineRule="auto"/>
        <w:ind w:left="576"/>
      </w:pPr>
      <w:r>
        <w:rPr>
          <w:rFonts w:ascii="Courier New" w:hAnsi="Courier New"/>
          <w:sz w:val="16"/>
        </w:rPr>
        <w:t xml:space="preserve">    "ranked_regulators":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"regulator": "WWTR1",</w:t>
      </w:r>
    </w:p>
    <w:p>
      <w:pPr>
        <w:spacing w:before="0" w:after="0" w:line="240" w:lineRule="auto"/>
        <w:ind w:left="576"/>
      </w:pPr>
      <w:r>
        <w:rPr>
          <w:rFonts w:ascii="Courier New" w:hAnsi="Courier New"/>
          <w:sz w:val="16"/>
        </w:rPr>
        <w:t xml:space="preserve">        "regulator_downstream_targets": 293,</w:t>
      </w:r>
    </w:p>
    <w:p>
      <w:pPr>
        <w:spacing w:before="0" w:after="0" w:line="240" w:lineRule="auto"/>
        <w:ind w:left="576"/>
      </w:pPr>
      <w:r>
        <w:rPr>
          <w:rFonts w:ascii="Courier New" w:hAnsi="Courier New"/>
          <w:sz w:val="16"/>
        </w:rPr>
        <w:t xml:space="preserve">        "centrality_metrics": {"pagerank": 0.4734}</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"pathway_enrichment": {</w:t>
      </w:r>
    </w:p>
    <w:p>
      <w:pPr>
        <w:spacing w:before="0" w:after="0" w:line="240" w:lineRule="auto"/>
        <w:ind w:left="576"/>
      </w:pPr>
      <w:r>
        <w:rPr>
          <w:rFonts w:ascii="Courier New" w:hAnsi="Courier New"/>
          <w:sz w:val="16"/>
        </w:rPr>
        <w:t xml:space="preserve">    "enriched_pathways":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"pathway_name": "Regulation of TP53 Expression",</w:t>
      </w:r>
    </w:p>
    <w:p>
      <w:pPr>
        <w:spacing w:before="0" w:after="0" w:line="240" w:lineRule="auto"/>
        <w:ind w:left="576"/>
      </w:pPr>
      <w:r>
        <w:rPr>
          <w:rFonts w:ascii="Courier New" w:hAnsi="Courier New"/>
          <w:sz w:val="16"/>
        </w:rPr>
        <w:t xml:space="preserve">        "fdr": 0.0033,</w:t>
      </w:r>
    </w:p>
    <w:p>
      <w:pPr>
        <w:spacing w:before="0" w:after="0" w:line="240" w:lineRule="auto"/>
        <w:ind w:left="576"/>
      </w:pPr>
      <w:r>
        <w:rPr>
          <w:rFonts w:ascii="Courier New" w:hAnsi="Courier New"/>
          <w:sz w:val="16"/>
        </w:rPr>
        <w:t xml:space="preserve">        "genes_found": 2</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w:t>
      </w:r>
    </w:p>
    <w:p/>
    <w:p>
      <w:r>
        <w:t>Data and License Information: Network data are publicly available through the GREmLIN Quickstart Tutorial (https://virtualcellmodels.cziscience.com/quickstart/gremln-quickstart, provided by the GREmLIN team under CC0 public domain dedication). Underlying single-cell RNA-seq data originate from CELLxGENE Data Portal (CC-BY-4.0 and CC0 licenses depending on dataset). Reactome pathway annotations are freely available via the Reactome API (https://reactome.org/AnalysisService/, Creative Commons Attribution 4.0 International License). All dependencies (NetworkX, LangGraph, pandas) are open-source with permissive licenses (BSD-3-Clause for NetworkX, MIT for LangGraph).</w:t>
      </w:r>
    </w:p>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