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LLM System for Automating Complex Scientific Workflows</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We introduce RegNetAgents, a multi-agent large language model (LLM) system designed to automate complex scientific workflows that traditionally require extensive manual effort, domain expertise, and multi-tool coordination. The framework integrates four specialized agents that operate in parallel, coordinate through a shared state, and fall back to deterministic rule-based logic when LLM output is uncertain. This hybrid architecture enables reliable, fast, and reproducible workflow automation, transforming multi-hour analytical pipelines into second-scale execution through a unified conversational interface.</w:t>
      </w:r>
    </w:p>
    <w:p/>
    <w:p>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p>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p>
      <w:r>
        <w:t>Keywords: multi-agent systems, LLM orchestration, workflow automation, AI-for-science, scientific reasoning, hypothesis generation, LangGraph, Model Context Protocol</w:t>
      </w:r>
    </w:p>
    <w:p/>
    <w:p/>
    <w:p/>
    <w:p>
      <w:pPr>
        <w:pStyle w:val="Heading2"/>
        <w:keepNext/>
      </w:pPr>
      <w:r>
        <w:t>INTRODUCTION</w:t>
      </w:r>
    </w:p>
    <w:p/>
    <w:p>
      <w:pPr>
        <w:pStyle w:val="Heading3"/>
        <w:keepNext/>
      </w:pPr>
      <w:r>
        <w:t>Background: Multi-Agent LLM Systems for Scientific Workflow Automation</w:t>
      </w:r>
    </w:p>
    <w:p/>
    <w:p>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p>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 while graph-based workflow engines such as LangGraph provide intelligent routing and state management for complex analytical pipelines (2). The Model Context Protocol (MCP) enables integration of computational tools with conversational AI interfaces (3), potentially democratizing access to sophisticated analytical methods.</w:t>
      </w:r>
    </w:p>
    <w:p/>
    <w:p>
      <w:r>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p>
      <w:pPr>
        <w:pStyle w:val="Heading3"/>
        <w:keepNext/>
      </w:pPr>
      <w:r>
        <w:t>Gene Regulatory Network Analysis as a Representative Scientific Workflow</w:t>
      </w:r>
    </w:p>
    <w:p/>
    <w:p>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p>
      <w:r>
        <w:t>Gene regulatory networks (GRNs) represent the complex interactions between transcription factors and their target genes, forming the fundamental control systems that determine cellular identity, function, and disease states (4,5). Understanding these networks is critical for identifying disease biomarkers, elucidating disease mechanisms, and discovering therapeutic targets (6,7). Single-cell RNA sequencing (scRNA-seq) technologies have enabled reconstruction of cell-type-specific regulatory networks at unprecedented resolution, revealing how regulatory architecture varies across tissues and cell types (8,9).</w:t>
      </w:r>
    </w:p>
    <w:p/>
    <w:p>
      <w:r>
        <w:t>Traditional gene regulatory analysis exemplifies the workflow bottlenecks that multi-agent LLM systems can address. Researchers must manually query multiple databases and tools: network databases such as STRING (10) and BioGRID (11) for interaction data, pathway enrichment tools such as Enrichr (12) and DAVID (13) for functional annotation, and extensive literature curation for domain-specific context. This fragmented workflow presents several critical limitations that align with broader scientific workflow challenges:</w:t>
      </w:r>
    </w:p>
    <w:p/>
    <w:p>
      <w:r>
        <w:t>1. Manual integration: Labor-intensive coordination across web interfaces, data export, and cross-domain synthesis for each gene analyzed</w:t>
      </w:r>
    </w:p>
    <w:p>
      <w:r>
        <w:t>2. Sequential processing: Limited scalability—analyzing multiple genes or comparing across cell types requires repeating the entire workflow</w:t>
      </w:r>
    </w:p>
    <w:p>
      <w:r>
        <w:t>3. Siloed expertise: Cancer relevance, drug development potential, clinical actionability, and systems-level effects analyzed separately rather than in an integrated framework</w:t>
      </w:r>
    </w:p>
    <w:p>
      <w:r>
        <w:t>4. Technical barriers: Lack of conversational interfaces necessitates programming expertise, limiting accessibility</w:t>
      </w:r>
    </w:p>
    <w:p/>
    <w:p>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p>
      <w:r>
        <w:t>Key AI systems contributions:</w:t>
      </w:r>
    </w:p>
    <w:p/>
    <w:p>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p>
      <w:r>
        <w:t>2. Reliable workflow automation: Graceful degradation from LLM-powered insights to rule-based logic when LLM output is unavailable, ensuring deterministic execution of core analytical tasks regardless of LLM availability</w:t>
      </w:r>
    </w:p>
    <w:p/>
    <w:p>
      <w:r>
        <w:t>3. Workflow orchestration via LangGraph: Graph-based state management enabling intelligent routing, parallel execution, and conditional branching across heterogeneous analysis components</w:t>
      </w:r>
    </w:p>
    <w:p/>
    <w:p>
      <w:r>
        <w:t>4. Conversational scientific computing via MCP: Natural language interface to computational workflows, eliminating programming barriers and enabling researchers to execute sophisticated analyses through dialogue</w:t>
      </w:r>
    </w:p>
    <w:p/>
    <w:p>
      <w:r>
        <w:t>5. Generalizability: Architecture designed for extension to other scientific domains—any workflow requiring (a) structured data retrieval, (b) algorithmic computation, (c) multi-domain interpretation, and (d) cross-domain synthesis can leverage this framework</w:t>
      </w:r>
    </w:p>
    <w:p/>
    <w:p>
      <w:r>
        <w:t>Validation through gene regulatory network analysis: We demonstrate the framework on a well-characterized colorectal cancer biomarker panel (MYC, CTNNB1, CCND1, TP53, KRAS), showing the system recapitulates literature-confirmed regulatory relationships and generates testable 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RELATED WORK</w:t>
      </w:r>
    </w:p>
    <w:p/>
    <w:p>
      <w:pPr>
        <w:pStyle w:val="Heading3"/>
        <w:keepNext/>
      </w:pPr>
      <w:r>
        <w:t>Multi-Agent LLM Systems</w:t>
      </w:r>
    </w:p>
    <w:p/>
    <w:p>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p>
      <w:r>
        <w:t>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p>
      <w:pPr>
        <w:pStyle w:val="Heading3"/>
        <w:keepNext/>
      </w:pPr>
      <w:r>
        <w:t>Workflow Orchestration Frameworks</w:t>
      </w:r>
    </w:p>
    <w:p/>
    <w:p>
      <w:r>
        <w:t>LangChain and LangGraph (2)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p>
      <w:pPr>
        <w:pStyle w:val="Heading3"/>
        <w:keepNext/>
      </w:pPr>
      <w:r>
        <w:t>AI Systems for Scientific Discovery</w:t>
      </w:r>
    </w:p>
    <w:p/>
    <w:p>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p>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p>
      <w:pPr>
        <w:pStyle w:val="Heading3"/>
        <w:keepNext/>
      </w:pPr>
      <w:r>
        <w:t>RegNetAgents' Contribution</w:t>
      </w:r>
    </w:p>
    <w:p/>
    <w:p>
      <w:r>
        <w:t>RegNetAgents addresses the reliability, performance, and scientific workflow integration gaps in existing multi-agent systems through three key innovations:</w:t>
      </w:r>
    </w:p>
    <w:p/>
    <w:p>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p>
      <w:r>
        <w:t>2. Scientific Workflow Optimization: While general-purpose frameworks (CrewAI, LangGraph) provide orchestration primitives, RegNetAgents specializes these for scientific analysis patterns—parallel domain-specific interpretation, data provenance tracking, statistical validation, and structured output formatting designed for experimental validation workflows.</w:t>
      </w:r>
    </w:p>
    <w:p/>
    <w:p>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p>
      <w:r>
        <w:t>By combining LangGraph's workflow orchestration with domain-specific hybrid execution and scientific data integration, RegNetAgents demonstrates how multi-agent LLM systems can be adapted for reliable, reproducible scientific workflow automation.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the pathway over-enrichment that occurs with large gene sets.</w:t>
      </w:r>
    </w:p>
    <w:p/>
    <w:p>
      <w:r>
        <w:t>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(27)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p>
      <w:r>
        <w:t>Ranking and Interpretation:</w:t>
      </w:r>
    </w:p>
    <w:p>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Note: These thresholds apply only to rule-based mode, not LLM mode.</w:t>
      </w:r>
    </w:p>
    <w:p/>
    <w:p>
      <w:pPr>
        <w:pStyle w:val="ListBullet"/>
      </w:pPr>
      <w:r>
        <w:t>Cancer Biology Agent: Oncogenic potential (&gt;20 targets = high, &gt;5 = moderate, ≤5 = low); tumor suppressor likelihood (&gt;15 regulators = high, &gt;5 = moderate, ≤5 = low).</w:t>
      </w:r>
    </w:p>
    <w:p>
      <w:pPr>
        <w:pStyle w:val="ListBullet"/>
      </w:pPr>
      <w:r>
        <w:t>Drug Development Agent: Intervention strategy (&gt;15 targets = inhibition candidate, &gt;10 regulators = activation candidate); development complexity (&gt;20 targets = high off-target risk, &gt;5 = moderate, ≤5 = low).</w:t>
      </w:r>
    </w:p>
    <w:p>
      <w:pPr>
        <w:pStyle w:val="ListBullet"/>
      </w:pPr>
      <w:r>
        <w:t>Clinical Relevance Agent: Biomarker utility (heavily_regulated role = diagnostic, hub_regulator role = prognostic, other roles = predictive); disease association likelihood (&gt;15 regulators = high, &gt;5 = moderate, ≤5 = low); clinical actionability (&gt;10 regulators + hub/heavily-regulated role = high).</w:t>
      </w:r>
    </w:p>
    <w:p/>
    <w:p>
      <w:r>
        <w:t>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and "Comprehensive" modes emphasize different analytical priorities: Focused mode prioritizes pathway enrichment (requires Reactome API call with variable latency 0.3-1.5s), while Comprehensive mode prioritizes complete regulator ranking using pre-computed PageRank indices (instant). Both complete in under 1 second due to efficient caching; timing differences reflect Reactome API latency variation rather than computational complexity.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(30,31).</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(32,33).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(35,36).</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(30,31). CTNNB1 mutations/dysregulation occur in 40-80% of CRCs via APC loss and Wnt pathway activation (32,33). CCND1 overexpression occurs in 30-60% of CRCs and drives G1/S cell cycle transition (34). TP53 mutations occur in 50-70% of CRCs and associate with advanced stage, metastasis, and poor survival (35,36). KRAS mutations occur in 40-45% of CRCs and confer resistance to anti-EGFR therapies (37,38).</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(39,40). The high PageRank ranking identifies WWTR1 as a central network node, consistent with the established role of Hippo pathway components in regulating cell growth and tumor suppression (41,42).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(44-46)),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(39-42)</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(44-46)</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(39-42)</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Wooldridge M. An Introduction to MultiAgent Systems. 2nd ed. Wiley; 2009.</w:t>
      </w:r>
    </w:p>
    <w:p/>
    <w:p>
      <w:r>
        <w:t>2. LangGraph Documentation. LangChain AI. https://langchain-ai.github.io/langgraph/</w:t>
      </w:r>
    </w:p>
    <w:p/>
    <w:p>
      <w:r>
        <w:t>3. Anthropic. Model Context Protocol Documentation. https://modelcontextprotocol.io</w:t>
      </w:r>
    </w:p>
    <w:p/>
    <w:p>
      <w:r>
        <w:t>4. Babu MM, Luscombe NM, Aravind L, Gerstein M, Teichmann SA. Structure and evolution of transcriptional regulatory networks. Curr Opin Struct Biol. 2004;14(3):283-291.</w:t>
      </w:r>
    </w:p>
    <w:p/>
    <w:p>
      <w:r>
        <w:t>5. Davidson EH, Levine MS. Properties of developmental gene regulatory networks. Proc Natl Acad Sci USA. 2008;105(51):20063-20066.</w:t>
      </w:r>
    </w:p>
    <w:p/>
    <w:p>
      <w:r>
        <w:t>6. Califano A, Alvarez MJ. The recurrent architecture of tumour initiation, progression and drug sensitivity. Nat Rev Cancer. 2017;17(2):116-130.</w:t>
      </w:r>
    </w:p>
    <w:p/>
    <w:p>
      <w:r>
        <w:t>7. Sonawane AR, Platig J, Fagny M, et al. Understanding tissue-specific gene regulation. Cell Rep. 2017;21(4):1077-1088.</w:t>
      </w:r>
    </w:p>
    <w:p/>
    <w:p>
      <w:r>
        <w:t>8. Aibar S, González-Blas CB, Moerman T, et al. SCENIC: single-cell regulatory network inference and clustering. Nat Methods. 2017;14(11):1083-1086.</w:t>
      </w:r>
    </w:p>
    <w:p/>
    <w:p>
      <w:r>
        <w:t>9. Kamimoto K, Stringa B, Hoffmann CM, et al. Dissecting cell identity via network inference and in silico gene perturbation. Nature. 2023;614(7949):742-751.</w:t>
      </w:r>
    </w:p>
    <w:p/>
    <w:p>
      <w:r>
        <w:t>10. Szklarczyk D, Gable AL, Nastou KC, et al. The STRING database in 2021: customizable protein-protein networks, and functional characterization of user-uploaded gene/measurement sets. Nucleic Acids Res. 2021;49(D1):D605-D612.</w:t>
      </w:r>
    </w:p>
    <w:p/>
    <w:p>
      <w:r>
        <w:t>11. Oughtred R, Rust J, Chang C, et al. The BioGRID database: A comprehensive biomedical resource of curated protein, genetic, and chemical interactions. Protein Sci. 2021;30(1):187-200.</w:t>
      </w:r>
    </w:p>
    <w:p/>
    <w:p>
      <w:r>
        <w:t>12. Chen EY, Tan CM, Kou Y, et al. Enrichr: interactive and collaborative HTML5 gene list enrichment analysis tool. BMC Bioinformatics. 2013;14:128.</w:t>
      </w:r>
    </w:p>
    <w:p/>
    <w:p>
      <w:r>
        <w:t>13. Sherman BT, Hao M, Qiu J, et al. DAVID: a web server for functional enrichment analysis and functional annotation of gene lists (2021 update). Nucleic Acids Res. 2022;50(W1):W216-W221.</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Significant Gravitas. AutoGPT: An Autonomous GPT-4 Experiment. GitHub. https://github.com/Significant-Gravitas/AutoGPT</w:t>
      </w:r>
    </w:p>
    <w:p/>
    <w:p>
      <w:r>
        <w:t>19. Li G, Hammoud HAA, Itani H, Khizbullin D, Ghanem B. CAMEL: Communicative Agents for "Mind" Exploration of Large Language Model Society. Proceedings of the 37th Conference on Neural Information Processing Systems; 2023.</w:t>
      </w:r>
    </w:p>
    <w:p/>
    <w:p>
      <w:r>
        <w:t>20. Hong S, Zhuge M, Chen J, et al. MetaGPT: Meta Programming for A Multi-Agent Collaborative Framework. arXiv. 2023. arXiv:2308.00352</w:t>
      </w:r>
    </w:p>
    <w:p/>
    <w:p>
      <w:r>
        <w:t>21. Moura J. CrewAI: Framework for orchestrating role-playing, autonomous AI agents. GitHub. https://github.com/crewAIInc/crewAI</w:t>
      </w:r>
    </w:p>
    <w:p/>
    <w:p>
      <w:r>
        <w:t>22. Taylor R, Kardas M, Cucurull G, et al. Galactica: A Large Language Model for Science. arXiv. 2022. arXiv:2211.09085</w:t>
      </w:r>
    </w:p>
    <w:p/>
    <w:p>
      <w:r>
        <w:t>23. Luo R, Sun L, Xia Y, et al. BioGPT: generative pre-trained transformer for biomedical text generation and mining. Brief Bioinform. 2022;23(6):bbac409. doi:10.1093/bib/bbac409</w:t>
      </w:r>
    </w:p>
    <w:p/>
    <w:p>
      <w:r>
        <w:t>24. Lu C, Lu C, Lange RT, et al. The AI Scientist: Towards Fully Automated Open-Ended Scientific Discovery. arXiv. 2024. arXiv:2408.06292</w:t>
      </w:r>
    </w:p>
    <w:p/>
    <w:p>
      <w:r>
        <w:t>25. Gillespie M, Jassal B, Stephan R, et al. The reactome pathway knowledgebase 2022. Nucleic Acids Res. 2022;50(D1):D687-D692.</w:t>
      </w:r>
    </w:p>
    <w:p/>
    <w:p>
      <w:r>
        <w:t>26. Yates AD, Achuthan P, Akanni W, et al. Ensembl 2020. Nucleic Acids Res. 2020;48(D1):D682-D688.</w:t>
      </w:r>
    </w:p>
    <w:p/>
    <w:p>
      <w:r>
        <w:t>27. Hagberg AA, Schult DA, Swart PJ. Exploring network structure, dynamics, and function using NetworkX. Proceedings of the 7th Python in Science Conference (SciPy 2008); 2008. p. 11-15.</w:t>
      </w:r>
    </w:p>
    <w:p/>
    <w:p>
      <w:r>
        <w:t>28. Koschützki D, Schreiber F. Centrality analysis methods for biological networks and their application to gene regulatory networks. Gene Regulation and Systems Biology. 2008;2:GRSB.S702.</w:t>
      </w:r>
    </w:p>
    <w:p/>
    <w:p>
      <w:r>
        <w:t>29. Mora A, Donaldson IM. Effects of protein interaction data integration, representation and reliability on the use of network properties for drug target prediction. BMC Bioinformatics. 2021;22(1):1-29. doi:10.1186/s12859-021-04042-6</w:t>
      </w:r>
    </w:p>
    <w:p/>
    <w:p>
      <w:r>
        <w:t>30. Erisman MD, Rothberg PG, Diehl RE, Morse CC, Spandorfer JM, Astrin SM. Deregulation of c-myc gene expression in human colon carcinoma is not accompanied by amplification or rearrangement of the gene. Mol Cell Biol. 1985;5(8):1969-1976.</w:t>
      </w:r>
    </w:p>
    <w:p/>
    <w:p>
      <w:r>
        <w:t>31. Sears R, Nuckolls F, Haura E, Taya Y, Tamai K, Nevins JR. Multiple Ras-dependent phosphorylation pathways regulate Myc protein stability. Genes Dev. 2000;14(26):2501-2514.</w:t>
      </w:r>
    </w:p>
    <w:p/>
    <w:p>
      <w:r>
        <w:t>32. Morin PJ, Sparks AB, Korinek V, et al. Activation of beta-catenin-Tcf signaling in colon cancer by mutations in beta-catenin or APC. Science. 1997;275(5307):1787-1790.</w:t>
      </w:r>
    </w:p>
    <w:p/>
    <w:p>
      <w:r>
        <w:t>33. Segditsas S, Tomlinson I. Colorectal cancer and genetic alterations in the Wnt pathway. Oncogene. 2006;25(57):7531-7537.</w:t>
      </w:r>
    </w:p>
    <w:p/>
    <w:p>
      <w:r>
        <w:t>34. Bartkova J, Lukas J, Strauss M, Bartek J. Cyclin D1 oncoprotein aberrantly accumulates in malignancies of diverse histogenesis. Oncogene. 1995;10(4):775-778.</w:t>
      </w:r>
    </w:p>
    <w:p/>
    <w:p>
      <w:r>
        <w:t>35. Iacopetta B. TP53 mutation in colorectal cancer. Hum Mutat. 2003;21(3):271-276.</w:t>
      </w:r>
    </w:p>
    <w:p/>
    <w:p>
      <w:r>
        <w:t>36. Olivier M, Hollstein M, Hainaut P. TP53 mutations in human cancers: origins, consequences, and clinical use. Cold Spring Harb Perspect Biol. 2010;2(1):a001008.</w:t>
      </w:r>
    </w:p>
    <w:p/>
    <w:p>
      <w:r>
        <w:t>37. Lievre A, Bachet JB, Le Corre D, et al. KRAS mutation status is predictive of response to cetuximab therapy in colorectal cancer. Cancer Res. 2006;66(8):3992-3995.</w:t>
      </w:r>
    </w:p>
    <w:p/>
    <w:p>
      <w:r>
        <w:t>38. Karapetis CS, Khambata-Ford S, Jonker DJ, et al. K-ras mutations and benefit from cetuximab in advanced colorectal cancer. N Engl J Med. 2008;359(17):1757-1765.</w:t>
      </w:r>
    </w:p>
    <w:p/>
    <w:p>
      <w:r>
        <w:t>39. Strano S, Monti O, Pediconi N, et al. The transcriptional coactivator Yes-associated protein drives p73 gene-target specificity in response to DNA damage. Mol Cell. 2005;18(4):447-459.</w:t>
      </w:r>
    </w:p>
    <w:p/>
    <w:p>
      <w:r>
        <w:t>40. Levy D, Adamovich Y, Reuven N, Shaul Y. Yap1 phosphorylation by c-Abl is a critical step in selective activation of proapoptotic genes in response to DNA damage. Mol Cell. 2008;29(3):350-361.</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43. Sagnol S, Yang Y, Bessin Y, et al. Homodimerization of RBPMS2 through a new RRM-interaction motif is necessary to control smooth muscle plasticity. Nucleic Acids Res. 2014;42(15):10173-10184.</w:t>
      </w:r>
    </w:p>
    <w:p/>
    <w:p>
      <w:r>
        <w:t>44. Polo SE, Kaidi A, Baskcomb L, Galanty Y, Jackson SP. Regulation of DNA-damage responses and cell-cycle progression by the chromatin remodelling factor CHD4. EMBO J. 2010;29(25):3130-3139.</w:t>
      </w:r>
    </w:p>
    <w:p/>
    <w:p>
      <w:r>
        <w:t>45. Larsen DH, Poinsignon C, Gudjonsson T, et al. The chromatin-remodeling factor CHD4 coordinates signaling and repair after DNA damage. J Cell Biol. 2010;190(5):731-740.</w:t>
      </w:r>
    </w:p>
    <w:p/>
    <w:p>
      <w:r>
        <w:t>46. Smeenk G, Wiegant WW, Vrolijk H, et al. The NuRD chromatin-remodeling complex regulates signaling and repair of DNA damage. J Cell Biol. 2010;190(5):741-749.</w:t>
      </w:r>
    </w:p>
    <w:p/>
    <w:p>
      <w:r>
        <w:t>47. Zhou G, Soufan O, Ewald J, Hancock REW, Basu N, Xia J. NetworkAnalyst 3.0: a visual analytics platform for comprehensive gene expression profiling and meta-analysis. Nucleic Acids Res. 2019;47(W1):W234-W241.</w:t>
      </w:r>
    </w:p>
    <w:p/>
    <w:p>
      <w:r>
        <w:t>48. Liu A, Trairatphisan P, Gjerga E, et al. From expression footprints to causal pathways: contextualizing large signaling networks with CARNIVAL. NPJ Syst Biol Appl. 2019;5:40.</w:t>
      </w:r>
    </w:p>
    <w:p/>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