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~5 seconds per gene (4 agents in parallel, ~1.25s each) compared to rule-based mode. For 5-gene analysis: ~6 seconds (rule-based) vs ~20 seconds (LLM). Both modes remain orders of magnitude faster than manual literature review.</w:t>
      </w:r>
    </w:p>
    <w:p/>
    <w:p>
      <w:r>
        <w:t>LLM Reproducibility: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The related protein RBPMS2 has been implicated in smooth muscle plasticity and gene regulation (29), though limited literature exists on RBPMS itself in cancer contexts. While RBPMS shows the highest degree centrality (most connections), direct TP53 regulation represents a testable hypothesis prioritized by network topology for experimental follow-up.</w:t>
      </w:r>
    </w:p>
    <w:p/>
    <w:p>
      <w:r>
        <w:t>PRRX2: Paired-related homeobox 2, a transcription factor with limited characterization in TP53 regulatory contexts. PRRX2's high PageRank despite moderate degree centrality reflects quality over quantity in network connections. Direct TP53 regulation by PRRX2 represents a novel hypothesis prioritized by network topology for experimental validation.</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