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demonstrates automated gene regulatory network analysis through conversational interaction. This system is designed as a hypothesis generation tool to assist researchers, not as a replacement for experimental validation. The framework integrates network modeling, therapeutic target ranking, pathway enrichment, and multi-domain interpretation into a unified conversational interface accessible without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characterizes regulatory architectures (hub regulators vs. heavily regulated genes) that align with known biological roles. For TP53, top-ranked upstream regulators include literature-supported interactors (WWTR1, YAP1, CHD4) identified by network topology, while additional high-ranking candidates (RBPMS, PRRX2, THRA, IKZF2) represent novel hypotheses for experimental validation.</w:t>
      </w:r>
    </w:p>
    <w:p/>
    <w:p>
      <w:r>
        <w:t>Analysis of 99 regulators across 5 genes completed in 15-62 seconds (vs. 2-4 hours manual workflows), representing orders of magnitude speedup. This five-gene demonstration establishes proof-of-concept for recapitulating literature-confirmed patterns and generating testable hypotheses. RegNetAgents transforms labor-intensive analysis into second-scale automated workflows accessible to experimental biologists.</w:t>
      </w:r>
    </w:p>
    <w:p/>
    <w:p>
      <w:r>
        <w:t>Keywords: gene regulatory networks, single-cell RNA-seq, multi-agent systems, workflow orchestration, hypothesis generation, biomarker discovery, therapeutic target identification, network centrality, PageRank, LangGraph, Model Context Protocol</w:t>
      </w:r>
    </w:p>
    <w:p/>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These workflow bottlenecks—manual integration, limited scalability, and accessibility barriers—align precisely with challenges that recent AI advances are well-positioned to address.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RegNetAgents leverages the GREmLN team's pre-computed ARACNe networks as input data for multi-agent analysis, but does not employ the GREmLN foundation model for prediction or inference tasks.</w:t>
      </w:r>
    </w:p>
    <w:p/>
    <w:p>
      <w:r>
        <w:t>ARACNe Network Inference: ARACNe-AP (Adaptive Partitioning) uses mutual information to identify direct regulatory interactions while eliminating indirect associations through data processing inequality (DPI).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perturbation experiments.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Rationale for Top 10 Regulator/Target Selection:</w:t>
      </w:r>
    </w:p>
    <w:p>
      <w:r>
        <w:t>For pathway enrichment, gene lists are constructed from the query gene plus its top 10 upstream regulators and top 10 downstream targets (ranked by network centrality). This focused approach is critical for balancing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1-20 targets not meeting hub or intermediate criteria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br w:type="page"/>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exploratory threshold) combined with hub regulator status (&gt;200 targets) indicates strong therapeutic potential but requires consideration of potential off-target effects. Assuming equal direct regulatory input, each of N regulators would contribute 1/N to target gene regulation; centrality metrics (PageRank, degree centrality) differentiate therapeutic potential by weighting regulators based on network position and influence beyond this baseline assumption.</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its top 10 upstream regulators (ranked by network centrality), and its top 10 downstream targets (approximately 21 genes total). This focused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(Guaranteed Reliability):</w:t>
      </w:r>
    </w:p>
    <w:p>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(heavilyregulated role = diagnostic, hubregulator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crosscellcomparison: Regulatory role comparison across all 10 cell types</w:t>
      </w:r>
    </w:p>
    <w:p>
      <w:r>
        <w:t>5. workflow_status: Real-time execution monitoring</w:t>
      </w:r>
    </w:p>
    <w:p>
      <w:r>
        <w:t>6. workflow_insights: Performance analytics and routing decisions</w:t>
      </w:r>
    </w:p>
    <w:p>
      <w:r>
        <w:t>7. createanalysisreport: Generate formatted analysis summaries</w:t>
      </w:r>
    </w:p>
    <w:p>
      <w:r>
        <w:t>8. loadgeneresults: Load previously saved analysis results</w:t>
      </w:r>
    </w:p>
    <w:p>
      <w:r>
        <w:t>9. listavailableresults: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2C).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2D).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3).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4).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is consistent with two biologically plausible mechanisms (requiring experimental validation to confirm):</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stress) and NKT cells (semi-activated state) is consistent with this interpretation, as these represent intermediate functional states between proliferative and fully differentiated cells.</w:t>
      </w:r>
    </w:p>
    <w:p/>
    <w:p>
      <w:r>
        <w:t>Interpretation caveats: These observations represent biologically plausible hypotheses based on network topology and known cell biology, but definitive mechanistic conclusions would require experimental validation (e.g., single-cell TP53 expression profiling, perturbation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w:t>
      </w:r>
    </w:p>
    <w:p/>
    <w:p>
      <w:r>
        <w:t>RegNetAgents is designed as a hypothesis generation tool, not a replacement for experimental validation. Several important limitations warrant consideration when interpreting results:</w:t>
      </w:r>
    </w:p>
    <w:p/>
    <w:p>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p/>
    <w:p>
      <w:r>
        <w:br w:type="page"/>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r>
        <w:t>Figure 3.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4.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br w:type="page"/>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"perturbation_results":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