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RegNetAgents: A Validated Multi-Agent AI Framework for Automated Gene Regulatory Network Analysis and Therapeutic Target Prioritization</w:t>
      </w:r>
    </w:p>
    <w:p>
      <w:r>
        <w:rPr>
          <w:b/>
        </w:rPr>
        <w:t>Running Title:</w:t>
      </w:r>
      <w:r>
        <w:t xml:space="preserve"> Multi-Agent Gene Regulatory Network Analysis</w:t>
      </w:r>
    </w:p>
    <w:p>
      <w:pPr>
        <w:pStyle w:val="Heading1"/>
      </w:pPr>
      <w:r>
        <w:t>Authors</w:t>
      </w:r>
    </w:p>
    <w:p>
      <w:r>
        <w:t>Jose A. Bird, PhD</w:t>
      </w:r>
    </w:p>
    <w:p>
      <w:r>
        <w:t>Bird AI Solutions</w:t>
      </w:r>
    </w:p>
    <w:p>
      <w:r>
        <w:t>jbird@birdaisolutions.com</w:t>
      </w:r>
    </w:p>
    <w:p>
      <w:pPr>
        <w:pStyle w:val="Heading1"/>
      </w:pPr>
      <w:r>
        <w:t>ABSTRACT</w:t>
      </w:r>
    </w:p>
    <w:p>
      <w:r>
        <w:t>Gene regulatory network analysis is essential for understanding disease mechanisms, identifying biomarkers, and prioritizing therapeutic targets, but traditional workflows require labor-intensive manual effort across multiple databases with limited scalability. We present RegNetAgents, an LLM-powered multi-agent framework that automates gene regulatory analysis through intelligent workflow orchestration. The system integrates network modeling, perturbation simulation, pathway enrichment, and multi-domain interpretation into a conversational interface accessible via Claude Desktop without programming expertise. Built on ARACNe networks from 500,000+ single cells across 10 cell types, the framework deploys four specialized agents executing in parallel with rule-based fallback for reliability. Automated perturbation analysis ranks candidate therapeutic targets using network centrality metrics (PageRank, degree centrality). Demonstration on colorectal cancer biomarkers (MYC, CTNNB1, CCND1, TP53, KRAS) showed 100% concordance with published literature. Perturbation analysis correctly ranked experimentally validated TP53 regulators (WWTR1, YAP1, CHD4) among the top candidates. Additional high-ranking regulators (RBPMS, PRRX2, THRA, IKZF2) represent novel hypotheses prioritized for experimental validation. Complete analysis of 99 regulators across 5 genes completed in 15-62 seconds, representing orders of magnitude speedup over manual workflows. RegNetAgents transforms labor-intensive analysis into second-scale automated hypothesis generation accessible to experimental biologists.</w:t>
      </w:r>
    </w:p>
    <w:p>
      <w:r>
        <w:rPr>
          <w:b/>
        </w:rPr>
        <w:t>Keywords:</w:t>
      </w:r>
      <w:r>
        <w:t xml:space="preserve"> gene regulatory networks, multi-agent systems, workflow orchestration, biomarker discovery, therapeutic target identification, network centrality, PageRank, LangGraph, Model Context Protocol</w:t>
      </w:r>
    </w:p>
    <w:p>
      <w:pPr>
        <w:pStyle w:val="Heading1"/>
      </w:pPr>
      <w:r>
        <w:t>INTRODUCTION</w:t>
      </w:r>
    </w:p>
    <w:p>
      <w:pPr>
        <w:pStyle w:val="Heading2"/>
      </w:pPr>
      <w:r>
        <w:t>Background</w:t>
      </w:r>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Pr>
        <w:pStyle w:val="Heading2"/>
      </w:pPr>
      <w:r>
        <w:t>Regulatory Network Data Sources</w:t>
      </w:r>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r>
        <w:rPr>
          <w:b/>
        </w:rPr>
        <w:t>ARACNe Network Inference</w:t>
      </w:r>
      <w:r>
        <w:t>: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r>
        <w:rPr>
          <w:b/>
        </w:rPr>
        <w:t>Network Processing</w:t>
      </w:r>
      <w:r>
        <w:t>: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Pr>
        <w:pStyle w:val="Heading2"/>
      </w:pPr>
      <w:r>
        <w:t>Our Contribution</w:t>
      </w:r>
    </w:p>
    <w:p>
      <w:r>
        <w:t xml:space="preserve">We present RegNetAgents, a multi-agent AI framework that streamlines gene regulatory network analysis and makes sophisticated computational methods accessible to experimental biologists. The system integrates network analysis, pathway enrichment, perturbation simulation, and multi-domain interpretation into a unified, conversational interface. Key contributions include: (1) </w:t>
      </w:r>
      <w:r>
        <w:rPr>
          <w:b/>
        </w:rPr>
        <w:t>Workflow automation</w:t>
      </w:r>
      <w:r>
        <w:t xml:space="preserve">: parallel multi-agent execution enabling second-scale analysis that replaces multi-hour manual workflows, (2) </w:t>
      </w:r>
      <w:r>
        <w:rPr>
          <w:b/>
        </w:rPr>
        <w:t>Hypothesis generation</w:t>
      </w:r>
      <w:r>
        <w:t xml:space="preserve">: automated perturbation analysis that simulates regulator inhibition to identify and rank candidate therapeutic targets for experimental validation, (3) </w:t>
      </w:r>
      <w:r>
        <w:rPr>
          <w:b/>
        </w:rPr>
        <w:t>Multi-domain integration</w:t>
      </w:r>
      <w:r>
        <w:t xml:space="preserve">: four specialized domain agents providing cancer, drug development, clinical, and systems biology perspectives in a single query, (4) </w:t>
      </w:r>
      <w:r>
        <w:rPr>
          <w:b/>
        </w:rPr>
        <w:t>Accessibility</w:t>
      </w:r>
      <w:r>
        <w:t xml:space="preserve">: natural language interface via Model Context Protocol enabling conversational access without programming expertise, and (5) </w:t>
      </w:r>
      <w:r>
        <w:rPr>
          <w:b/>
        </w:rPr>
        <w:t>Demonstration</w:t>
      </w:r>
      <w:r>
        <w:t>: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Pr>
        <w:pStyle w:val="Heading2"/>
      </w:pPr>
      <w:r>
        <w:t>Validation Strategy</w:t>
      </w:r>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Pr>
        <w:pStyle w:val="Heading1"/>
      </w:pPr>
      <w:r>
        <w:t>METHODS</w:t>
      </w:r>
    </w:p>
    <w:p>
      <w:pPr>
        <w:pStyle w:val="Heading2"/>
      </w:pPr>
      <w:r>
        <w:t>Architecture Overview</w:t>
      </w:r>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intermediate, terminal target) based on in-degree and out-degree. Genes with more than five upstream regulators trigger automated perturbation analysis.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Pr>
        <w:pStyle w:val="Heading2"/>
      </w:pPr>
      <w:r>
        <w:t>Data Sources and Network Construction</w:t>
      </w:r>
    </w:p>
    <w:p>
      <w:r>
        <w:t>#### 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ARACNe-AP parameters: mutual information estimation via adaptive partitioning, data processing inequality (DPI) tolerance of 1.0 to eliminate indirect edges, p-value threshold of 1e-8 for statistical significance, and 100 bootstrap iterations for edge robustness assessment.</w:t>
      </w:r>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r>
        <w:t>#### Pathway Annotation</w:t>
      </w:r>
    </w:p>
    <w:p>
      <w:r>
        <w:t>Pathway enrichment analysis uses the Reactome Pathway Database (https://reactome.org), a manually curated, peer-reviewed database of human biological pathways (19).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r>
        <w:t>#### Gene Annotation</w:t>
      </w:r>
    </w:p>
    <w:p>
      <w:r>
        <w:t>Gene-level annotations including full names and functional descriptions are retrieved from local NCBI and UniProt databases. Gene identifier conversion between gene symbols and Ensembl IDs uses the Ensembl REST API (https://rest.ensembl.org) (18) with local caching for performance optimization.</w:t>
      </w:r>
    </w:p>
    <w:p>
      <w:pPr>
        <w:pStyle w:val="Heading2"/>
      </w:pPr>
      <w:r>
        <w:t>Multi-Agent Workflow</w:t>
      </w:r>
    </w:p>
    <w:p>
      <w:r>
        <w:t>#### Network Analysis Agent</w:t>
      </w:r>
    </w:p>
    <w:p>
      <w:r>
        <w:t>The network modeling agent performs five core functions: (1) gene identifier resolution (symbol to Ensembl ID conversion with synonym matching), (2) network lookup to retrieve all regulatory edges involving the query gene, (3) regulator identification (genes with edges pointing to the query gene), (4) target identification (genes the query gene regulates), and (5) regulatory role classification based on network topology.</w:t>
      </w:r>
    </w:p>
    <w:p>
      <w:r>
        <w:t>Regulatory roles are assigned algorithmically:</w:t>
      </w:r>
    </w:p>
    <w:p>
      <w:r>
        <w:t xml:space="preserve">- </w:t>
      </w:r>
      <w:r>
        <w:rPr>
          <w:b/>
        </w:rPr>
        <w:t>Hub regulator</w:t>
      </w:r>
      <w:r>
        <w:t>: Out-degree ≥ 50 targets (top 10% of network)</w:t>
      </w:r>
    </w:p>
    <w:p>
      <w:r>
        <w:t xml:space="preserve">- </w:t>
      </w:r>
      <w:r>
        <w:rPr>
          <w:b/>
        </w:rPr>
        <w:t>Intermediate regulator</w:t>
      </w:r>
      <w:r>
        <w:t>: 5 ≤ out-degree &lt; 50</w:t>
      </w:r>
    </w:p>
    <w:p>
      <w:r>
        <w:t xml:space="preserve">- </w:t>
      </w:r>
      <w:r>
        <w:rPr>
          <w:b/>
        </w:rPr>
        <w:t>Terminal target</w:t>
      </w:r>
      <w:r>
        <w:t>: Out-degree &lt; 5 and in-degree ≥ 5</w:t>
      </w:r>
    </w:p>
    <w:p>
      <w:r>
        <w:t xml:space="preserve">- </w:t>
      </w:r>
      <w:r>
        <w:rPr>
          <w:b/>
        </w:rPr>
        <w:t>Target</w:t>
      </w:r>
      <w:r>
        <w:t>: Out-degree = 0 or in-degree &gt; out-degree</w:t>
      </w:r>
    </w:p>
    <w:p>
      <w:r>
        <w:t>Network position metrics include in-degree (number of regulators), out-degree (number of targets), and binary classification as regulator or target.</w:t>
      </w:r>
    </w:p>
    <w:p>
      <w:r>
        <w:t>#### Perturbation Analysis Agent</w:t>
      </w:r>
    </w:p>
    <w:p>
      <w:r>
        <w:t>For genes with five or more upstream regulators, we perform automated perturbation analysis to identify potential therapeutic targets. This analysis simulates inhibiting each upstream regulator individually and evaluates therapeutic potential using standard network centrality metrics.</w:t>
      </w:r>
    </w:p>
    <w:p>
      <w:r>
        <w:rPr>
          <w:b/>
        </w:rPr>
        <w:t>Network Centrality Metrics for Therapeutic Target Ranking:</w:t>
      </w:r>
    </w:p>
    <w:p>
      <w:r>
        <w:t>We calculate three core centrality measures for each regulator R using NetworkX (42) implementations:</w:t>
      </w:r>
    </w:p>
    <w:p>
      <w:r>
        <w:rPr>
          <w:b/>
        </w:rPr>
        <w:t>Degree Centrality:</w:t>
      </w:r>
    </w:p>
    <w:p>
      <w:r>
        <w:t>C_D(R) = deg(R) / (N - 1)</w:t>
      </w:r>
    </w:p>
    <w:p>
      <w:r>
        <w:t>Where deg(R) is the total number of connections (in-degree + out-degree) and N is the total number of nodes in the network. Measures overall network connectivity.</w:t>
      </w:r>
    </w:p>
    <w:p>
      <w:r>
        <w:rPr>
          <w:b/>
        </w:rPr>
        <w:t>Out-Degree Centrality (Primary Hub Metric):</w:t>
      </w:r>
    </w:p>
    <w:p>
      <w:r>
        <w:t>C_out(R) = deg_out(R) / (N - 1)</w:t>
      </w:r>
    </w:p>
    <w:p>
      <w:r>
        <w:t>Where deg_out(R) is the number of downstream targets regulated by R. This metric identifies hub regulators with broad downstream effects and estimates potential off-target impacts of therapeutic intervention.</w:t>
      </w:r>
    </w:p>
    <w:p>
      <w:r>
        <w:rPr>
          <w:b/>
        </w:rPr>
        <w:t>PageRank (Primary Ranking Metric):</w:t>
      </w:r>
    </w:p>
    <w:p>
      <w:r>
        <w:t>PR(R) = (1-α)/N + α × Σ[PR(v) / L(v)] for all v in M(R)</w:t>
      </w:r>
    </w:p>
    <w:p>
      <w:r>
        <w:t>Where M(R) is the set of nodes with edges pointing to R, L(v) is the out-degree of node v (number of outbound edges), α = 0.85 is the damping factor, and N is the total number of nodes. For large networks (≥1,000 nodes), PageRank is normalized by dividing by the maximum PageRank value to ensure interpretability. This is Google's algorithm adapted for biological networks, measuring connection quality rather than quantity (43).</w:t>
      </w:r>
    </w:p>
    <w:p>
      <w:r>
        <w:rPr>
          <w:b/>
        </w:rPr>
        <w:t>Ranking and Interpretation:</w:t>
      </w:r>
    </w:p>
    <w:p>
      <w:r>
        <w:t>Regulators are ranked by PageRank (primary), as this metric was identified as the best predictor of successful drug targets in protein interaction networks (44).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(44).</w:t>
      </w:r>
    </w:p>
    <w:p>
      <w:r>
        <w:t>For each regulator, we report:</w:t>
      </w:r>
    </w:p>
    <w:p>
      <w:r>
        <w:t>- Network centrality metrics (PageRank, degree centrality, out-degree centrality)</w:t>
      </w:r>
    </w:p>
    <w:p>
      <w:r>
        <w:t>- Number of downstream targets (off-target effect estimate)</w:t>
      </w:r>
    </w:p>
    <w:p>
      <w:r>
        <w:t>- Cascade overlap count (shared regulatory targets with target gene)</w:t>
      </w:r>
    </w:p>
    <w:p>
      <w:r>
        <w:t>- Top 5 affected cascades (genes regulated by both the inhibited regulator and the target gene)</w:t>
      </w:r>
    </w:p>
    <w:p>
      <w:r>
        <w:rPr>
          <w:b/>
        </w:rP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r>
        <w:rPr>
          <w:b/>
        </w:rPr>
        <w:t>Perturbation Analysis Limitations:</w:t>
      </w:r>
    </w:p>
    <w:p>
      <w:r>
        <w:t>Our perturbation analysis makes several simplifying assumptions that warrant consideration:</w:t>
      </w:r>
    </w:p>
    <w:p>
      <w:r>
        <w:t xml:space="preserve">1. </w:t>
      </w:r>
      <w:r>
        <w:rPr>
          <w:b/>
        </w:rPr>
        <w:t>Topology-based ranking</w:t>
      </w:r>
      <w:r>
        <w:t>: Analysis ranks regulators based on network topology (connectivity, cascade overlap) rather than predicting quantitative gene expression changes. This approach identifies regulators for experimental validation but does not model dynamic regulatory responses or predict expression fold-changes.</w:t>
      </w:r>
    </w:p>
    <w:p>
      <w:r>
        <w:t xml:space="preserve">2. </w:t>
      </w:r>
      <w:r>
        <w:rPr>
          <w:b/>
        </w:rPr>
        <w:t>Additive regulatory effects</w:t>
      </w:r>
      <w:r>
        <w:t>: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r>
        <w:t xml:space="preserve">3. </w:t>
      </w:r>
      <w:r>
        <w:rPr>
          <w:b/>
        </w:rPr>
        <w:t>Chromatin context</w:t>
      </w:r>
      <w:r>
        <w: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r>
        <w:t xml:space="preserve">4. </w:t>
      </w:r>
      <w:r>
        <w:rPr>
          <w:b/>
        </w:rPr>
        <w:t>Static network assumption</w:t>
      </w:r>
      <w:r>
        <w:t>: Networks represent time-averaged regulatory relationships and do not capture dynamic rewiring during development, differentiation, or disease progression. Regulator importance may vary across cellular states not represented in the averaged network.</w:t>
      </w:r>
    </w:p>
    <w:p>
      <w:r>
        <w:t>Despite these limitations, topology-based perturbation analysis successfully identifies experimentally validated regulators (as demonstrated with TP53 Hippo pathway effectors) and provides a principled ranking for experimental prioritization. Results should be interpreted as hypotheses for validation, not predictions of molecular outcomes. Experimental validation remains essential to confirm regulatory relationships and quantify expression changes.</w:t>
      </w:r>
    </w:p>
    <w:p>
      <w:r>
        <w:t>#### 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r>
        <w:t>Reactome returns enriched pathways ranked by statistical significance, including:</w:t>
      </w:r>
    </w:p>
    <w:p>
      <w:r>
        <w:t>- Pathway ID and name</w:t>
      </w:r>
    </w:p>
    <w:p>
      <w:r>
        <w:t>- P-value (uncorrected)</w:t>
      </w:r>
    </w:p>
    <w:p>
      <w:r>
        <w:t>- False discovery rate (FDR, Benjamini-Hochberg correction)</w:t>
      </w:r>
    </w:p>
    <w:p>
      <w:r>
        <w:t>- Number of query genes in pathway</w:t>
      </w:r>
    </w:p>
    <w:p>
      <w:r>
        <w:t>- Total pathway size</w:t>
      </w:r>
    </w:p>
    <w:p>
      <w:r>
        <w:t>- Species (Homo sapiens)</w:t>
      </w:r>
    </w:p>
    <w:p>
      <w:r>
        <w:t>We report all pathways with FDR &lt; 0.05 as significantly enriched. For queries returning fewer than 3 enriched pathways at FDR &lt; 0.05, we relax to p &lt; 0.05 uncorrected to provide exploratory pathway associations.</w:t>
      </w:r>
    </w:p>
    <w:p>
      <w:r>
        <w:t>#### Domain Analysis Agents</w:t>
      </w:r>
    </w:p>
    <w:p>
      <w:r>
        <w:t xml:space="preserve">Four domain-specific agents execute in parallel, each providing specialized biological interpretation. </w:t>
      </w:r>
      <w:r>
        <w:rPr>
          <w:b/>
        </w:rPr>
        <w:t>Agents are LLM-powered by default</w:t>
      </w:r>
      <w:r>
        <w: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r>
        <w:rPr>
          <w:b/>
        </w:rPr>
        <w:t>LLM-Powered Mode (Primary):</w:t>
      </w:r>
    </w:p>
    <w:p>
      <w:r>
        <w:t>Each domain agent receives structured prompts containing:</w:t>
      </w:r>
    </w:p>
    <w:p>
      <w:r>
        <w:t>- Gene functional descriptions from NCBI/UniProt databases (providing validated biological context)</w:t>
      </w:r>
    </w:p>
    <w:p>
      <w:r>
        <w:t>- Gene regulatory context (role, upstream regulators, downstream targets, PageRank)</w:t>
      </w:r>
    </w:p>
    <w:p>
      <w:r>
        <w:t>- Pathway enrichment results (when available)</w:t>
      </w:r>
    </w:p>
    <w:p>
      <w:r>
        <w:t>- Cross-cell-type expression patterns (for clinical agent)</w:t>
      </w:r>
    </w:p>
    <w:p>
      <w:r>
        <w:t>Agents return JSON-structured insights with:</w:t>
      </w:r>
    </w:p>
    <w:p>
      <w:r>
        <w:t>- Domain-specific classifications (e.g., oncogenic potential: high/moderate/low, intervention strategy: inhibition/activation)</w:t>
      </w:r>
    </w:p>
    <w:p>
      <w:r>
        <w:t>- Scientific rationales explaining each classification</w:t>
      </w:r>
    </w:p>
    <w:p>
      <w:r>
        <w:t>- Network topology metrics (PageRank, degree centrality)</w:t>
      </w:r>
    </w:p>
    <w:p>
      <w:r>
        <w:t>- 1-2 sentence summaries for integration</w:t>
      </w:r>
    </w:p>
    <w:p>
      <w:r>
        <w:t>LLM prompts request specific JSON formats with predefined keys. Response parsing includes validation, missing key detection with placeholder insertion, and classification verification. Retry logic (2 attempts) handles transient failures.</w:t>
      </w:r>
    </w:p>
    <w:p>
      <w:r>
        <w:rPr>
          <w:b/>
        </w:rPr>
        <w:t>Rule-Based Fallback (Reliability):</w:t>
      </w:r>
    </w:p>
    <w:p>
      <w:r>
        <w:t>If LLM is unavailable or fails, agents use fast heuristic algorithms that classify genes based on network topology:</w:t>
      </w:r>
    </w:p>
    <w:p>
      <w:r>
        <w:rPr>
          <w:b/>
        </w:rPr>
        <w:t>Cancer Biology Agent:</w:t>
      </w:r>
      <w:r>
        <w:t xml:space="preserve"> Classifies oncogenic potential based on network centrality (&gt;50 targets = high, &gt;20 = moderate, &lt;20 = low), tumor suppressor likelihood (terminal targets with &gt;10 regulators = high), and biomarker potential (diagnostic for terminal targets, prognostic for hub regulators, predictive based on regulatory architecture). Classifications are heuristics derived from network position and regulatory role.</w:t>
      </w:r>
    </w:p>
    <w:p>
      <w:r>
        <w:rPr>
          <w:b/>
        </w:rPr>
        <w:t>Drug Development Agent:</w:t>
      </w:r>
      <w:r>
        <w:t xml:space="preserve"> Identifies intervention strategies based on regulatory architecture (hub regulators = inhibition candidates, terminal targets = activation candidates), estimates development complexity (high for hubs due to potential off-target effects, moderate for intermediate nodes, low for terminal targets), and provides qualitative assessments of downstream cascade effects based on target counts.</w:t>
      </w:r>
    </w:p>
    <w:p>
      <w:r>
        <w:rPr>
          <w:b/>
        </w:rPr>
        <w:t>Clinical Relevance Agent:</w:t>
      </w:r>
      <w:r>
        <w:t xml:space="preserve"> Classifies biomarker utility (diagnostic for terminal targets with pathway involvement, prognostic for regulators with cancer pathway enrichment, predictive for regulators in druggable pathways), assesses tissue specificity from cross-cell-type regulatory patterns, and provides qualitative disease association estimates based on regulatory architecture.</w:t>
      </w:r>
    </w:p>
    <w:p>
      <w:r>
        <w:rPr>
          <w:b/>
        </w:rPr>
        <w:t>Systems Biology Agent:</w:t>
      </w:r>
      <w:r>
        <w:t xml:space="preserve"> Quantifies network centrality metrics (PageRank, out-degree, in-degree), classifies regulatory hierarchy position (hub/intermediate/terminal), and estimates perturbation impact scope (system-wide for hubs, localized for terminals) based on network topology.</w:t>
      </w:r>
    </w:p>
    <w:p>
      <w:r>
        <w:rPr>
          <w:b/>
        </w:rPr>
        <w:t>Classification Rationale:</w:t>
      </w:r>
      <w:r>
        <w:t xml:space="preserve"> Agent classifications are derived from network topology thresholds empirically chosen to reflect regulatory roles: (1) Oncogenic potential: &gt;50 targets = high (strong regulatory influence), 20-50 = moderate, &lt;20 = low; (2) Tumor suppressor likelihood: terminal targets with &gt;10 regulators = high (multiple regulatory controls suggest gatekeeper function); (3) Intervention complexity: hub regulators = high (many downstream targets create off-target risks), intermediates = moderate, terminals = low; (4) Biomarker utility: terminal targets = diagnostic candidates (pathway outputs), hub regulators = prognostic candidates (pathway controllers). These thresholds are exploratory heuristics chosen for demonstration purposes and have not been systematically validated against benchmark datasets (e.g., COSMIC Cancer Gene Census, DGIdb). They provide qualitative guidance for experimental prioritization but should not be interpreted as validated predictive scores. Future work should optimize these thresholds through systematic comparison with known cancer genes and druggable targets. Network centrality metrics (PageRank, degree centrality) remain the primary validated quantitative outputs, with perturbation rankings confirmed against experimental literature.</w:t>
      </w:r>
    </w:p>
    <w:p>
      <w:r>
        <w:rPr>
          <w:b/>
        </w:rPr>
        <w:t>Performance:</w:t>
      </w:r>
      <w:r>
        <w:t xml:space="preserve"> LLM mode adds ~5 seconds per gene (4 agents in parallel, ~1.25s each) compared to rule-based mode. For 5-gene analysis: ~6 seconds (rule-based) vs ~20 seconds (LLM). Both modes remain orders of magnitude faster than manual literature review.</w:t>
      </w:r>
    </w:p>
    <w:p>
      <w:r>
        <w:rPr>
          <w:b/>
        </w:rPr>
        <w:t>LLM Reproducibility:</w:t>
      </w:r>
      <w:r>
        <w:t xml:space="preserve"> LLM-generated outputs exhibit variability across runs due to temperature-based sampling (temperature = 0.7 for llama3.1:8b). Core classifications (oncogenic potential, intervention strategies) remain consistent across runs, but specific wording in rationales may vary. For deterministic analysis, rule-based mode provides identical results on repeated execution. JSON structure validation ensures all required fields are present regardless of LLM output variability. For the analyses reported in this manuscript, we used rule-based mode for quantitative network metrics (perturbation rankings, PageRank scores, degree centrality) and LLM mode for qualitative biological interpretations (domain-specific rationales). All quantitative network metrics are deterministic and fully reproducible.</w:t>
      </w:r>
    </w:p>
    <w:p>
      <w:r>
        <w:t>Domain agents operate independently and can be extended or replaced without affecting other workflow components.</w:t>
      </w:r>
    </w:p>
    <w:p>
      <w:r>
        <w:t>#### Integration and Reporting Agent</w:t>
      </w:r>
    </w:p>
    <w:p>
      <w:r>
        <w:t>The integration agent synthesizes results from all upstream agents into a comprehensive analysis report. Output format is structured JSON containing:</w:t>
      </w:r>
    </w:p>
    <w:p>
      <w:r>
        <w:t>- Gene analysis summary (gene, cell type, regulatory role)</w:t>
      </w:r>
    </w:p>
    <w:p>
      <w:r>
        <w:t>- Network analysis (regulators, targets, network position)</w:t>
      </w:r>
    </w:p>
    <w:p>
      <w:r>
        <w:t>- Perturbation analysis results (if applicable, with ranked therapeutic targets)</w:t>
      </w:r>
    </w:p>
    <w:p>
      <w:r>
        <w:t>- Pathway enrichment (significant pathways with FDR values)</w:t>
      </w:r>
    </w:p>
    <w:p>
      <w:r>
        <w:t>- Cross-cell-type comparison (regulatory role across all 10 cell types)</w:t>
      </w:r>
    </w:p>
    <w:p>
      <w:r>
        <w:t>- Domain-specific insights (cancer, drug, clinical, systems perspectives)</w:t>
      </w:r>
    </w:p>
    <w:p>
      <w:r>
        <w:t>- Key insights summary (aggregated metrics and classifications)</w:t>
      </w:r>
    </w:p>
    <w:p>
      <w:r>
        <w:t>- Workflow metadata (execution time, completed steps)</w:t>
      </w:r>
    </w:p>
    <w:p>
      <w:r>
        <w:t>For multi-gene queries, the integration agent additionally generates comparative analyses and identifies common regulators, shared pathways, and complementary biomarker panels.</w:t>
      </w:r>
    </w:p>
    <w:p>
      <w:pPr>
        <w:pStyle w:val="Heading2"/>
      </w:pPr>
      <w:r>
        <w:t>Model Context Protocol Integration</w:t>
      </w:r>
    </w:p>
    <w:p>
      <w:r>
        <w:t>The RegNetAgents workflow is exposed via a Model Context Protocol (MCP) server, enabling conversational access through Claude Desktop. The MCP server implements eight tools:</w:t>
      </w:r>
    </w:p>
    <w:p>
      <w:r>
        <w:t xml:space="preserve">1. </w:t>
      </w:r>
      <w:r>
        <w:rPr>
          <w:b/>
        </w:rPr>
        <w:t>comprehensive_gene_analysis</w:t>
      </w:r>
      <w:r>
        <w:t>: Full workflow execution (network + regulators + targets + perturbation + pathways + domains)</w:t>
      </w:r>
    </w:p>
    <w:p>
      <w:r>
        <w:t xml:space="preserve">2. </w:t>
      </w:r>
      <w:r>
        <w:rPr>
          <w:b/>
        </w:rPr>
        <w:t>multi_gene_analysis</w:t>
      </w:r>
      <w:r>
        <w:t>: Parallel processing of multiple genes with comparative analysis</w:t>
      </w:r>
    </w:p>
    <w:p>
      <w:r>
        <w:t xml:space="preserve">3. </w:t>
      </w:r>
      <w:r>
        <w:rPr>
          <w:b/>
        </w:rPr>
        <w:t>pathway_focused_analysis</w:t>
      </w:r>
      <w:r>
        <w:t>: Pathway enrichment for user-specified gene lists</w:t>
      </w:r>
    </w:p>
    <w:p>
      <w:r>
        <w:t xml:space="preserve">4. </w:t>
      </w:r>
      <w:r>
        <w:rPr>
          <w:b/>
        </w:rPr>
        <w:t>analyze_regulators</w:t>
      </w:r>
      <w:r>
        <w:t>: Detailed upstream regulator analysis with perturbation</w:t>
      </w:r>
    </w:p>
    <w:p>
      <w:r>
        <w:t xml:space="preserve">5. </w:t>
      </w:r>
      <w:r>
        <w:rPr>
          <w:b/>
        </w:rPr>
        <w:t>analyze_targets</w:t>
      </w:r>
      <w:r>
        <w:t>: Detailed downstream target analysis with cascade effects</w:t>
      </w:r>
    </w:p>
    <w:p>
      <w:r>
        <w:t xml:space="preserve">6. </w:t>
      </w:r>
      <w:r>
        <w:rPr>
          <w:b/>
        </w:rPr>
        <w:t>cross_cell_comparison</w:t>
      </w:r>
      <w:r>
        <w:t>: Regulatory role comparison across all 10 cell types</w:t>
      </w:r>
    </w:p>
    <w:p>
      <w:r>
        <w:t xml:space="preserve">7. </w:t>
      </w:r>
      <w:r>
        <w:rPr>
          <w:b/>
        </w:rPr>
        <w:t>workflow_status</w:t>
      </w:r>
      <w:r>
        <w:t>: Real-time execution monitoring</w:t>
      </w:r>
    </w:p>
    <w:p>
      <w:r>
        <w:t xml:space="preserve">8. </w:t>
      </w:r>
      <w:r>
        <w:rPr>
          <w:b/>
        </w:rPr>
        <w:t>workflow_insights</w:t>
      </w:r>
      <w:r>
        <w:t>: Performance analytics and routing decisions</w:t>
      </w:r>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w:t>
      </w:r>
    </w:p>
    <w:p>
      <w:pPr>
        <w:pStyle w:val="Heading2"/>
      </w:pPr>
      <w:r>
        <w:t>Implementation Details</w:t>
      </w:r>
    </w:p>
    <w:p>
      <w:r>
        <w:t>The system is implemented in Python 3.8+ using LangGraph (v0.1+) for workflow orchestration. 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r>
        <w:t>External API calls (Reactome, Ensembl REST API) use asynchronous requests with 10-second timeouts and exponential backoff retry logic. Parallel agent execution uses Python's concurrent.futures ThreadPoolExecutor with a maximum of 4 concurrent threads.</w:t>
      </w:r>
    </w:p>
    <w:p>
      <w:pPr>
        <w:pStyle w:val="Heading2"/>
      </w:pPr>
      <w:r>
        <w:t>Performance Benchmarking</w:t>
      </w:r>
    </w:p>
    <w:p>
      <w:r>
        <w:t>We measured end-to-end execution time for three analysis scenarios on a standard laptop (Intel i7, 16GB RAM, Windows 11):</w:t>
      </w:r>
    </w:p>
    <w:p>
      <w:r>
        <w:t xml:space="preserve">1. </w:t>
      </w:r>
      <w:r>
        <w:rPr>
          <w:b/>
        </w:rPr>
        <w:t>Single gene comprehensive analysis</w:t>
      </w:r>
      <w:r>
        <w:t>: TP53 in epithelial cells (all workflow steps)</w:t>
      </w:r>
    </w:p>
    <w:p>
      <w:r>
        <w:t xml:space="preserve">2. </w:t>
      </w:r>
      <w:r>
        <w:rPr>
          <w:b/>
        </w:rPr>
        <w:t>Multi-gene analysis</w:t>
      </w:r>
      <w:r>
        <w:t>: 5 genes (MYC, CTNNB1, CCND1, TP53, KRAS) in epithelial cells</w:t>
      </w:r>
    </w:p>
    <w:p>
      <w:r>
        <w:t xml:space="preserve">3. </w:t>
      </w:r>
      <w:r>
        <w:rPr>
          <w:b/>
        </w:rPr>
        <w:t>Cross-cell-type comparison</w:t>
      </w:r>
      <w:r>
        <w:t>: TP53 across all 10 cell types</w:t>
      </w:r>
    </w:p>
    <w:p>
      <w:r>
        <w:t>Each scenario was executed 10 times with cold starts (server restarted between runs). Execution time includes all workflow steps from query initiation to final JSON output, including Reactome API calls.</w:t>
      </w:r>
    </w:p>
    <w:p>
      <w:pPr>
        <w:pStyle w:val="Heading2"/>
      </w:pPr>
      <w:r>
        <w:t>Data Availability</w:t>
      </w:r>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Pr>
        <w:pStyle w:val="Heading1"/>
      </w:pPr>
      <w:r>
        <w:t>RESULTS</w:t>
      </w:r>
    </w:p>
    <w:p>
      <w:pPr>
        <w:pStyle w:val="Heading2"/>
      </w:pPr>
      <w:r>
        <w:t>Validation Summary</w:t>
      </w:r>
    </w:p>
    <w:p>
      <w:r>
        <w:t>Framework validation against established colorectal cancer biology demonstrated:</w:t>
      </w:r>
    </w:p>
    <w:p>
      <w:r>
        <w:t xml:space="preserve">- </w:t>
      </w:r>
      <w:r>
        <w:rPr>
          <w:b/>
        </w:rPr>
        <w:t>100% concordance</w:t>
      </w:r>
      <w:r>
        <w:t xml:space="preserve"> with published biomarker classifications (5/5 genes correctly classified)</w:t>
      </w:r>
    </w:p>
    <w:p>
      <w:r>
        <w:t xml:space="preserve">- </w:t>
      </w:r>
      <w:r>
        <w:rPr>
          <w:b/>
        </w:rPr>
        <w:t>Successful prediction</w:t>
      </w:r>
      <w:r>
        <w:t xml:space="preserve"> of experimentally validated TP53 regulators from Hippo pathway (WWTR1, YAP1, CHD4)</w:t>
      </w:r>
    </w:p>
    <w:p>
      <w:r>
        <w:t xml:space="preserve">- </w:t>
      </w:r>
      <w:r>
        <w:rPr>
          <w:b/>
        </w:rPr>
        <w:t>Pathway coherence</w:t>
      </w:r>
      <w:r>
        <w:t xml:space="preserve"> between network topology and biological pathways (Hippo signaling enrichment, FDR = 0.020)</w:t>
      </w:r>
    </w:p>
    <w:p>
      <w:r>
        <w:t xml:space="preserve">- </w:t>
      </w:r>
      <w:r>
        <w:rPr>
          <w:b/>
        </w:rPr>
        <w:t>Novel hypothesis generation</w:t>
      </w:r>
      <w:r>
        <w:t xml:space="preserve"> for experimental validation (RBPMS, PRRX2, THRA, IKZF2)</w:t>
      </w:r>
    </w:p>
    <w:p>
      <w:r>
        <w:t>These results demonstrate the framework produces biologically meaningful outputs suitable for hypothesis generation and experimental prioritization.</w:t>
      </w:r>
    </w:p>
    <w:p>
      <w:pPr>
        <w:pStyle w:val="Heading2"/>
      </w:pPr>
      <w:r>
        <w:t>System Performance</w:t>
      </w:r>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r>
        <w:rPr>
          <w:b/>
        </w:rPr>
        <w:t>Rule-based mode</w:t>
      </w:r>
      <w:r>
        <w:t xml:space="preserve"> provides rapid analysis without LLM dependencies. Single gene comprehensive analysis of TP53 in epithelial cells (network modeling, complete perturbation analysis of all 7 regulators, Reactome pathway enrichment) completed in 0.60 seconds. Multi-gene analysis of 5 genes (MYC, CTNNB1, CCND1, TP53, KRAS) including complete perturbation analysis of all 99 regulators completed in 15.49 seconds with parallel execution.</w:t>
      </w:r>
    </w:p>
    <w:p>
      <w:r>
        <w:rPr>
          <w:b/>
        </w:rPr>
        <w:t>LLM-powered mode</w:t>
      </w:r>
      <w:r>
        <w:t xml:space="preserve"> adds specialized domain analysis with scientific rationales from four parallel agents (cancer biology, drug discovery, clinical relevance, systems biology). Single gene comprehensive analysis with LLM insights averages ~15 seconds (4× slower than rule-based due to local LLM inference).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r>
        <w:t>Performance breakdown: Network lookups from pre-computed indices are near-instantaneous (&lt;1 ms), perturbation analysis of all regulators scales linearly with regulator count, Reactome API calls take 0.3-1.5 seconds per query, and LLM inference adds ~3-4 seconds per domain agent call. PageRank pre-computation in network cache enables instant perturbation analysis. Despite comprehensive regulator analysis and optional LLM insights, execution remains orders of magnitude faster than manual workflows, which typically involve sequential querying of network databases, pathway enrichment tools, and extensive literature curation.</w:t>
      </w:r>
    </w:p>
    <w:p>
      <w:r>
        <w:rPr>
          <w:b/>
        </w:rPr>
        <w:t>Table 1. Performance Benchmarks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Analysis Type</w:t>
            </w:r>
          </w:p>
        </w:tc>
        <w:tc>
          <w:tcPr>
            <w:tcW w:type="dxa" w:w="2160"/>
          </w:tcPr>
          <w:p>
            <w:r>
              <w:rPr>
                <w:b/>
              </w:rPr>
              <w:t>Genes</w:t>
            </w:r>
          </w:p>
        </w:tc>
        <w:tc>
          <w:tcPr>
            <w:tcW w:type="dxa" w:w="2160"/>
          </w:tcPr>
          <w:p>
            <w:r>
              <w:rPr>
                <w:b/>
              </w:rPr>
              <w:t>Execution Time</w:t>
            </w:r>
          </w:p>
        </w:tc>
        <w:tc>
          <w:tcPr>
            <w:tcW w:type="dxa" w:w="2160"/>
          </w:tcPr>
          <w:p>
            <w:r>
              <w:rPr>
                <w:b/>
              </w:rPr>
              <w:t>Components</w:t>
            </w:r>
          </w:p>
        </w:tc>
      </w:tr>
      <w:tr>
        <w:tc>
          <w:tcPr>
            <w:tcW w:type="dxa" w:w="2160"/>
          </w:tcPr>
          <w:p>
            <w:r>
              <w:t>Focused (rule-based)</w:t>
            </w:r>
          </w:p>
        </w:tc>
        <w:tc>
          <w:tcPr>
            <w:tcW w:type="dxa" w:w="2160"/>
          </w:tcPr>
          <w:p>
            <w:r>
              <w:t>TP53</w:t>
            </w:r>
          </w:p>
        </w:tc>
        <w:tc>
          <w:tcPr>
            <w:tcW w:type="dxa" w:w="2160"/>
          </w:tcPr>
          <w:p>
            <w:r>
              <w:t>0.68 sec</w:t>
            </w:r>
          </w:p>
        </w:tc>
        <w:tc>
          <w:tcPr>
            <w:tcW w:type="dxa" w:w="2160"/>
          </w:tcPr>
          <w:p>
            <w:r>
              <w:t>Network lookup, regulators, targets, complete perturbation (all 7 regulators)</w:t>
            </w:r>
          </w:p>
        </w:tc>
      </w:tr>
      <w:tr>
        <w:tc>
          <w:tcPr>
            <w:tcW w:type="dxa" w:w="2160"/>
          </w:tcPr>
          <w:p>
            <w:r>
              <w:t>Comprehensive (rule-based)</w:t>
            </w:r>
          </w:p>
        </w:tc>
        <w:tc>
          <w:tcPr>
            <w:tcW w:type="dxa" w:w="2160"/>
          </w:tcPr>
          <w:p>
            <w:r>
              <w:t>TP53</w:t>
            </w:r>
          </w:p>
        </w:tc>
        <w:tc>
          <w:tcPr>
            <w:tcW w:type="dxa" w:w="2160"/>
          </w:tcPr>
          <w:p>
            <w:r>
              <w:t>0.60 sec</w:t>
            </w:r>
          </w:p>
        </w:tc>
        <w:tc>
          <w:tcPr>
            <w:tcW w:type="dxa" w:w="2160"/>
          </w:tcPr>
          <w:p>
            <w:r>
              <w:t>Network analysis + Reactome pathway enrichment (16 pathways, FDR correction)</w:t>
            </w:r>
          </w:p>
        </w:tc>
      </w:tr>
      <w:tr>
        <w:tc>
          <w:tcPr>
            <w:tcW w:type="dxa" w:w="2160"/>
          </w:tcPr>
          <w:p>
            <w:r>
              <w:t>Comprehensive (LLM-powered)</w:t>
            </w:r>
          </w:p>
        </w:tc>
        <w:tc>
          <w:tcPr>
            <w:tcW w:type="dxa" w:w="2160"/>
          </w:tcPr>
          <w:p>
            <w:r>
              <w:t>TP53</w:t>
            </w:r>
          </w:p>
        </w:tc>
        <w:tc>
          <w:tcPr>
            <w:tcW w:type="dxa" w:w="2160"/>
          </w:tcPr>
          <w:p>
            <w:r>
              <w:t>~15 sec</w:t>
            </w:r>
          </w:p>
        </w:tc>
        <w:tc>
          <w:tcPr>
            <w:tcW w:type="dxa" w:w="2160"/>
          </w:tcPr>
          <w:p>
            <w:r>
              <w:t>Network + perturbation + pathways + 4 LLM agents with scientific rationales</w:t>
            </w:r>
          </w:p>
        </w:tc>
      </w:tr>
      <w:tr>
        <w:tc>
          <w:tcPr>
            <w:tcW w:type="dxa" w:w="2160"/>
          </w:tcPr>
          <w:p>
            <w:r>
              <w:t>Multi-gene (rule-based)</w:t>
            </w:r>
          </w:p>
        </w:tc>
        <w:tc>
          <w:tcPr>
            <w:tcW w:type="dxa" w:w="2160"/>
          </w:tcPr>
          <w:p>
            <w:r>
              <w:t>5 genes</w:t>
            </w:r>
          </w:p>
        </w:tc>
        <w:tc>
          <w:tcPr>
            <w:tcW w:type="dxa" w:w="2160"/>
          </w:tcPr>
          <w:p>
            <w:r>
              <w:t>15.49 sec</w:t>
            </w:r>
          </w:p>
        </w:tc>
        <w:tc>
          <w:tcPr>
            <w:tcW w:type="dxa" w:w="2160"/>
          </w:tcPr>
          <w:p>
            <w:r>
              <w:t>Network analysis, complete perturbation (all 99 regulators, parallel execution)</w:t>
            </w:r>
          </w:p>
        </w:tc>
      </w:tr>
      <w:tr>
        <w:tc>
          <w:tcPr>
            <w:tcW w:type="dxa" w:w="2160"/>
          </w:tcPr>
          <w:p>
            <w:r>
              <w:t>Multi-gene (LLM-powered)</w:t>
            </w:r>
          </w:p>
        </w:tc>
        <w:tc>
          <w:tcPr>
            <w:tcW w:type="dxa" w:w="2160"/>
          </w:tcPr>
          <w:p>
            <w:r>
              <w:t>5 genes</w:t>
            </w:r>
          </w:p>
        </w:tc>
        <w:tc>
          <w:tcPr>
            <w:tcW w:type="dxa" w:w="2160"/>
          </w:tcPr>
          <w:p>
            <w:r>
              <w:t>~62 sec</w:t>
            </w:r>
          </w:p>
        </w:tc>
        <w:tc>
          <w:tcPr>
            <w:tcW w:type="dxa" w:w="2160"/>
          </w:tcPr>
          <w:p>
            <w:r>
              <w:t>Network + perturbation (99 regulators) + pathways + 4 parallel LLM agents</w:t>
            </w:r>
          </w:p>
        </w:tc>
      </w:tr>
      <w:tr>
        <w:tc>
          <w:tcPr>
            <w:tcW w:type="dxa" w:w="2160"/>
          </w:tcPr>
          <w:p>
            <w:r>
              <w:t>Cross-cell comparison</w:t>
            </w:r>
          </w:p>
        </w:tc>
        <w:tc>
          <w:tcPr>
            <w:tcW w:type="dxa" w:w="2160"/>
          </w:tcPr>
          <w:p>
            <w:r>
              <w:t>TP53, 10 types</w:t>
            </w:r>
          </w:p>
        </w:tc>
        <w:tc>
          <w:tcPr>
            <w:tcW w:type="dxa" w:w="2160"/>
          </w:tcPr>
          <w:p>
            <w:r>
              <w:t>&lt;0.01 sec</w:t>
            </w:r>
          </w:p>
        </w:tc>
        <w:tc>
          <w:tcPr>
            <w:tcW w:type="dxa" w:w="216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PageRank pre-computation in network cache enables instant perturbation analysis. All measurements via Claude Desktop MCP integration on standard laptop (Intel i7, 16GB RAM) with stable internet connection and Ollama server running locally.*</w:t>
      </w:r>
    </w:p>
    <w:p>
      <w:pPr>
        <w:pStyle w:val="Heading2"/>
      </w:pPr>
      <w:r>
        <w:t>Workflow Automation and Performance</w:t>
      </w:r>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4C).</w:t>
      </w:r>
    </w:p>
    <w:p>
      <w:r>
        <w:t>This acceleration enables exploratory analyses previously impractical due to time constraints. For example, analyzing a 5-gene biomarker panel with complete perturbation analysis (99 total regulators)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Pr>
        <w:pStyle w:val="Heading2"/>
      </w:pPr>
      <w:r>
        <w:t>LLM-Powered Domain Analysis Adds Scientific Context</w:t>
      </w:r>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4D).</w:t>
      </w:r>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Pr>
        <w:pStyle w:val="Heading2"/>
      </w:pPr>
      <w:r>
        <w:t>Demonstration Case Study: Colorectal Cancer Biomarker Analysis</w:t>
      </w:r>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r>
        <w:t>#### Multi-Gene Regulatory Network Analysis</w:t>
      </w:r>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terminal target profiles with no identified downstream regulatory relationships in the epithelial network: CCND1 (0 targets, 42 regulators) and KRAS (0 targets, 7 regulators), indicating they function as end-point effectors in signaling cascades.</w:t>
      </w:r>
    </w:p>
    <w:p>
      <w:r>
        <w:rPr>
          <w:b/>
        </w:rPr>
        <w:t>Table 2. Colorectal Cancer Biomarker Panel Analysis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Gene</w:t>
            </w:r>
          </w:p>
        </w:tc>
        <w:tc>
          <w:tcPr>
            <w:tcW w:type="dxa" w:w="1440"/>
          </w:tcPr>
          <w:p>
            <w:r>
              <w:rPr>
                <w:b/>
              </w:rPr>
              <w:t>Regulatory Role</w:t>
            </w:r>
          </w:p>
        </w:tc>
        <w:tc>
          <w:tcPr>
            <w:tcW w:type="dxa" w:w="1440"/>
          </w:tcPr>
          <w:p>
            <w:r>
              <w:rPr>
                <w:b/>
              </w:rPr>
              <w:t>Targets</w:t>
            </w:r>
          </w:p>
        </w:tc>
        <w:tc>
          <w:tcPr>
            <w:tcW w:type="dxa" w:w="1440"/>
          </w:tcPr>
          <w:p>
            <w:r>
              <w:rPr>
                <w:b/>
              </w:rPr>
              <w:t>Regulators</w:t>
            </w:r>
          </w:p>
        </w:tc>
        <w:tc>
          <w:tcPr>
            <w:tcW w:type="dxa" w:w="1440"/>
          </w:tcPr>
          <w:p>
            <w:r>
              <w:rPr>
                <w:b/>
              </w:rPr>
              <w:t>Biomarker Type</w:t>
            </w:r>
          </w:p>
        </w:tc>
        <w:tc>
          <w:tcPr>
            <w:tcW w:type="dxa" w:w="1440"/>
          </w:tcPr>
          <w:p>
            <w:r>
              <w:rPr>
                <w:b/>
              </w:rPr>
              <w:t>Top Candidate Regulator (PageRank)</w:t>
            </w:r>
          </w:p>
        </w:tc>
      </w:tr>
      <w:tr>
        <w:tc>
          <w:tcPr>
            <w:tcW w:type="dxa" w:w="1440"/>
          </w:tcPr>
          <w:p>
            <w:r>
              <w:t>MYC</w:t>
            </w:r>
          </w:p>
        </w:tc>
        <w:tc>
          <w:tcPr>
            <w:tcW w:type="dxa" w:w="1440"/>
          </w:tcPr>
          <w:p>
            <w:r>
              <w:t>Hub Regulator</w:t>
            </w:r>
          </w:p>
        </w:tc>
        <w:tc>
          <w:tcPr>
            <w:tcW w:type="dxa" w:w="1440"/>
          </w:tcPr>
          <w:p>
            <w:r>
              <w:t>427</w:t>
            </w:r>
          </w:p>
        </w:tc>
        <w:tc>
          <w:tcPr>
            <w:tcW w:type="dxa" w:w="1440"/>
          </w:tcPr>
          <w:p>
            <w:r>
              <w:t>25</w:t>
            </w:r>
          </w:p>
        </w:tc>
        <w:tc>
          <w:tcPr>
            <w:tcW w:type="dxa" w:w="1440"/>
          </w:tcPr>
          <w:p>
            <w:r>
              <w:t>Diagnostic</w:t>
            </w:r>
          </w:p>
        </w:tc>
        <w:tc>
          <w:tcPr>
            <w:tcW w:type="dxa" w:w="1440"/>
          </w:tcPr>
          <w:p>
            <w:r>
              <w:t>ID4 (0.622)</w:t>
            </w:r>
          </w:p>
        </w:tc>
      </w:tr>
      <w:tr>
        <w:tc>
          <w:tcPr>
            <w:tcW w:type="dxa" w:w="1440"/>
          </w:tcPr>
          <w:p>
            <w:r>
              <w:t>CTNNB1</w:t>
            </w:r>
          </w:p>
        </w:tc>
        <w:tc>
          <w:tcPr>
            <w:tcW w:type="dxa" w:w="1440"/>
          </w:tcPr>
          <w:p>
            <w:r>
              <w:t>Hub Regulator</w:t>
            </w:r>
          </w:p>
        </w:tc>
        <w:tc>
          <w:tcPr>
            <w:tcW w:type="dxa" w:w="1440"/>
          </w:tcPr>
          <w:p>
            <w:r>
              <w:t>310</w:t>
            </w:r>
          </w:p>
        </w:tc>
        <w:tc>
          <w:tcPr>
            <w:tcW w:type="dxa" w:w="1440"/>
          </w:tcPr>
          <w:p>
            <w:r>
              <w:t>18</w:t>
            </w:r>
          </w:p>
        </w:tc>
        <w:tc>
          <w:tcPr>
            <w:tcW w:type="dxa" w:w="1440"/>
          </w:tcPr>
          <w:p>
            <w:r>
              <w:t>Diagnostic</w:t>
            </w:r>
          </w:p>
        </w:tc>
        <w:tc>
          <w:tcPr>
            <w:tcW w:type="dxa" w:w="1440"/>
          </w:tcPr>
          <w:p>
            <w:r>
              <w:t>CHD2 (0.530)</w:t>
            </w:r>
          </w:p>
        </w:tc>
      </w:tr>
      <w:tr>
        <w:tc>
          <w:tcPr>
            <w:tcW w:type="dxa" w:w="1440"/>
          </w:tcPr>
          <w:p>
            <w:r>
              <w:t>CCND1</w:t>
            </w:r>
          </w:p>
        </w:tc>
        <w:tc>
          <w:tcPr>
            <w:tcW w:type="dxa" w:w="1440"/>
          </w:tcPr>
          <w:p>
            <w:r>
              <w:t>Terminal Target</w:t>
            </w:r>
          </w:p>
        </w:tc>
        <w:tc>
          <w:tcPr>
            <w:tcW w:type="dxa" w:w="1440"/>
          </w:tcPr>
          <w:p>
            <w:r>
              <w:t>0</w:t>
            </w:r>
          </w:p>
        </w:tc>
        <w:tc>
          <w:tcPr>
            <w:tcW w:type="dxa" w:w="1440"/>
          </w:tcPr>
          <w:p>
            <w:r>
              <w:t>42</w:t>
            </w:r>
          </w:p>
        </w:tc>
        <w:tc>
          <w:tcPr>
            <w:tcW w:type="dxa" w:w="1440"/>
          </w:tcPr>
          <w:p>
            <w:r>
              <w:t>Diagnostic</w:t>
            </w:r>
          </w:p>
        </w:tc>
        <w:tc>
          <w:tcPr>
            <w:tcW w:type="dxa" w:w="1440"/>
          </w:tcPr>
          <w:p>
            <w:r>
              <w:t>ZBTB20 (0.600)</w:t>
            </w:r>
          </w:p>
        </w:tc>
      </w:tr>
      <w:tr>
        <w:tc>
          <w:tcPr>
            <w:tcW w:type="dxa" w:w="1440"/>
          </w:tcPr>
          <w:p>
            <w:r>
              <w:t>TP53</w:t>
            </w:r>
          </w:p>
        </w:tc>
        <w:tc>
          <w:tcPr>
            <w:tcW w:type="dxa" w:w="1440"/>
          </w:tcPr>
          <w:p>
            <w:r>
              <w:t>Hub Regulator</w:t>
            </w:r>
          </w:p>
        </w:tc>
        <w:tc>
          <w:tcPr>
            <w:tcW w:type="dxa" w:w="1440"/>
          </w:tcPr>
          <w:p>
            <w:r>
              <w:t>163</w:t>
            </w:r>
          </w:p>
        </w:tc>
        <w:tc>
          <w:tcPr>
            <w:tcW w:type="dxa" w:w="1440"/>
          </w:tcPr>
          <w:p>
            <w:r>
              <w:t>7</w:t>
            </w:r>
          </w:p>
        </w:tc>
        <w:tc>
          <w:tcPr>
            <w:tcW w:type="dxa" w:w="1440"/>
          </w:tcPr>
          <w:p>
            <w:r>
              <w:t>Prognostic</w:t>
            </w:r>
          </w:p>
        </w:tc>
        <w:tc>
          <w:tcPr>
            <w:tcW w:type="dxa" w:w="1440"/>
          </w:tcPr>
          <w:p>
            <w:r>
              <w:t>**WWTR1 (0.473)**</w:t>
            </w:r>
          </w:p>
        </w:tc>
      </w:tr>
      <w:tr>
        <w:tc>
          <w:tcPr>
            <w:tcW w:type="dxa" w:w="1440"/>
          </w:tcPr>
          <w:p>
            <w:r>
              <w:t>KRAS</w:t>
            </w:r>
          </w:p>
        </w:tc>
        <w:tc>
          <w:tcPr>
            <w:tcW w:type="dxa" w:w="1440"/>
          </w:tcPr>
          <w:p>
            <w:r>
              <w:t>Terminal Target</w:t>
            </w:r>
          </w:p>
        </w:tc>
        <w:tc>
          <w:tcPr>
            <w:tcW w:type="dxa" w:w="1440"/>
          </w:tcPr>
          <w:p>
            <w:r>
              <w:t>0</w:t>
            </w:r>
          </w:p>
        </w:tc>
        <w:tc>
          <w:tcPr>
            <w:tcW w:type="dxa" w:w="1440"/>
          </w:tcPr>
          <w:p>
            <w:r>
              <w:t>7</w:t>
            </w:r>
          </w:p>
        </w:tc>
        <w:tc>
          <w:tcPr>
            <w:tcW w:type="dxa" w:w="1440"/>
          </w:tcPr>
          <w:p>
            <w:r>
              <w:t>Predictive</w:t>
            </w:r>
          </w:p>
        </w:tc>
        <w:tc>
          <w:tcPr>
            <w:tcW w:type="dxa" w:w="1440"/>
          </w:tcPr>
          <w:p>
            <w:r>
              <w:t>GPBP1 (0.609)</w:t>
            </w:r>
          </w:p>
        </w:tc>
      </w:tr>
    </w:tbl>
    <w:p/>
    <w:p>
      <w:r>
        <w:t>*Perturbation analysis performed for all five genes - all upstream regulators analyzed (25, 18, 42, 7, and 7 regulators respectively, total of 99 regulators). The system simulates inhibiting each upstream regulator and ranks candidate targets using PageRank (primary ranking, best predictor of drug target success per Mora &amp; Donaldson 2021) and out-degree centrality (secondary ranking). Top candidate shown for each gene. These rankings serve as hypotheses for experimental validation. Detailed TP53 perturbation results presented below (Table 3) as representative example with complete rankings of all 7 regulators.*</w:t>
      </w:r>
    </w:p>
    <w:p>
      <w:r>
        <w:t>#### Biomarker Classification and Validation</w:t>
      </w:r>
    </w:p>
    <w:p>
      <w:r>
        <w:t>RegNetAgents automatically classified biomarker types based on regulatory architecture and domain agent analysis:</w:t>
      </w:r>
    </w:p>
    <w:p>
      <w:r>
        <w:rPr>
          <w:b/>
        </w:rPr>
        <w:t>Diagnostic Biomarkers (MYC, CTNNB1, CCND1):</w:t>
      </w:r>
      <w:r>
        <w:t xml:space="preserve"> Genes with high regulatory input and pathway enrichment in proliferation/Wnt signaling pathways. MYC and CTNNB1 function as hub regulators that amplify oncogenic signals, while CCND1 acts as a terminal effector. These genes serve as indicators of disease presence, with expression levels reflecting oncogenic pathway activation. Literature validation: MYC amplification occurs in 15-20% of CRCs and correlates with poor prognosis (19,20); CTNNB1 mutations/dysregulation occur in 40-80% of CRCs via APC loss and Wnt activation (21,22); CCND1 overexpression occurs in 30-60% of CRCs and drives G1/S transition (23).</w:t>
      </w:r>
    </w:p>
    <w:p>
      <w:r>
        <w:rPr>
          <w:b/>
        </w:rPr>
        <w:t>Prognostic Biomarker (TP53):</w:t>
      </w:r>
      <w:r>
        <w:t xml:space="preserve"> Hub regulator with high network centrality and enrichment in TP53-regulation pathways. TP53 status predicts patient outcomes and treatment response. Literature validation: TP53 mutations occur in 50-70% of CRCs and associate with advanced stage, metastasis, and poor survival (24,25).</w:t>
      </w:r>
    </w:p>
    <w:p>
      <w:r>
        <w:rPr>
          <w:b/>
        </w:rPr>
        <w:t>Predictive Biomarker (KRAS):</w:t>
      </w:r>
      <w:r>
        <w:t xml:space="preserve"> Target gene with moderate clinical actionability. KRAS status predicts response to specific therapies (anti-EGFR antibodies). Literature validation: KRAS mutations occur in 40-45% of CRCs and confer resistance to cetuximab/panitumumab (26,27).</w:t>
      </w:r>
    </w:p>
    <w:p>
      <w:r>
        <w:t>All five classifications aligned with published CRC biomarker literature, demonstrating 100% concordance with established clinical and research findings. Network analysis revealed distinct regulatory architectures: three hub regulators (TP53, MYC, CTNNB1) with extensive downstream connectivity (163, 427, and 310 targets respectively) indicating signal amplification roles, and two terminal targets (CCND1, KRAS) with no downstream regulation but multiple upstream inputs. These connectivity patterns align with known biological roles - TP53, MYC, and CTNNB1 as master regulatory hubs in tumor suppression and oncogenic signaling, while CCND1 and KRAS function as end-point effectors.</w:t>
      </w:r>
    </w:p>
    <w:p>
      <w:pPr>
        <w:pStyle w:val="Heading2"/>
      </w:pPr>
      <w:r>
        <w:t>Perturbation Analysis: TP53 Candidate Regulator Prioritization</w:t>
      </w:r>
    </w:p>
    <w:p>
      <w:r>
        <w:t>To illustrate framework capabilities for hypothesis generation, we performed automated perturbation analysis on TP53, which has 7 upstream regulators in epithelial cells. The analysis simulates inhibiting each regulator individually and ranks candidates using network centrality metrics (Table 3, Figure 3). These rankings serve as hypotheses for experimental validation, not predictions of therapeutic efficacy.</w:t>
      </w:r>
    </w:p>
    <w:p>
      <w:r>
        <w:rPr>
          <w:b/>
        </w:rPr>
        <w:t>Table 3. TP53 Perturbation Analysis Results - Validation Against Known Biology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Rank</w:t>
            </w:r>
          </w:p>
        </w:tc>
        <w:tc>
          <w:tcPr>
            <w:tcW w:type="dxa" w:w="1440"/>
          </w:tcPr>
          <w:p>
            <w:r>
              <w:rPr>
                <w:b/>
              </w:rPr>
              <w:t>Regulator</w:t>
            </w:r>
          </w:p>
        </w:tc>
        <w:tc>
          <w:tcPr>
            <w:tcW w:type="dxa" w:w="1440"/>
          </w:tcPr>
          <w:p>
            <w:r>
              <w:rPr>
                <w:b/>
              </w:rPr>
              <w:t>PageRank</w:t>
            </w:r>
          </w:p>
        </w:tc>
        <w:tc>
          <w:tcPr>
            <w:tcW w:type="dxa" w:w="1440"/>
          </w:tcPr>
          <w:p>
            <w:r>
              <w:rPr>
                <w:b/>
              </w:rPr>
              <w:t>Out-Degree Centrality</w:t>
            </w:r>
          </w:p>
        </w:tc>
        <w:tc>
          <w:tcPr>
            <w:tcW w:type="dxa" w:w="1440"/>
          </w:tcPr>
          <w:p>
            <w:r>
              <w:rPr>
                <w:b/>
              </w:rPr>
              <w:t>Downstream Targets</w:t>
            </w:r>
          </w:p>
        </w:tc>
        <w:tc>
          <w:tcPr>
            <w:tcW w:type="dxa" w:w="1440"/>
          </w:tcPr>
          <w:p>
            <w:r>
              <w:rPr>
                <w:b/>
              </w:rPr>
              <w:t>Validation Status</w:t>
            </w:r>
          </w:p>
        </w:tc>
      </w:tr>
      <w:tr>
        <w:tc>
          <w:tcPr>
            <w:tcW w:type="dxa" w:w="1440"/>
          </w:tcPr>
          <w:p>
            <w:r>
              <w:t>1</w:t>
            </w:r>
          </w:p>
        </w:tc>
        <w:tc>
          <w:tcPr>
            <w:tcW w:type="dxa" w:w="1440"/>
          </w:tcPr>
          <w:p>
            <w:r>
              <w:t>WWTR1</w:t>
            </w:r>
          </w:p>
        </w:tc>
        <w:tc>
          <w:tcPr>
            <w:tcW w:type="dxa" w:w="1440"/>
          </w:tcPr>
          <w:p>
            <w:r>
              <w:t>0.473</w:t>
            </w:r>
          </w:p>
        </w:tc>
        <w:tc>
          <w:tcPr>
            <w:tcW w:type="dxa" w:w="1440"/>
          </w:tcPr>
          <w:p>
            <w:r>
              <w:t>0.020</w:t>
            </w:r>
          </w:p>
        </w:tc>
        <w:tc>
          <w:tcPr>
            <w:tcW w:type="dxa" w:w="1440"/>
          </w:tcPr>
          <w:p>
            <w:r>
              <w:t>293</w:t>
            </w:r>
          </w:p>
        </w:tc>
        <w:tc>
          <w:tcPr>
            <w:tcW w:type="dxa" w:w="1440"/>
          </w:tcPr>
          <w:p>
            <w:r>
              <w:t>[check] Validated</w:t>
            </w:r>
          </w:p>
        </w:tc>
      </w:tr>
      <w:tr>
        <w:tc>
          <w:tcPr>
            <w:tcW w:type="dxa" w:w="1440"/>
          </w:tcPr>
          <w:p>
            <w:r>
              <w:t>2</w:t>
            </w:r>
          </w:p>
        </w:tc>
        <w:tc>
          <w:tcPr>
            <w:tcW w:type="dxa" w:w="1440"/>
          </w:tcPr>
          <w:p>
            <w:r>
              <w:t>RBPMS</w:t>
            </w:r>
          </w:p>
        </w:tc>
        <w:tc>
          <w:tcPr>
            <w:tcW w:type="dxa" w:w="1440"/>
          </w:tcPr>
          <w:p>
            <w:r>
              <w:t>0.469</w:t>
            </w:r>
          </w:p>
        </w:tc>
        <w:tc>
          <w:tcPr>
            <w:tcW w:type="dxa" w:w="1440"/>
          </w:tcPr>
          <w:p>
            <w:r>
              <w:t>0.028</w:t>
            </w:r>
          </w:p>
        </w:tc>
        <w:tc>
          <w:tcPr>
            <w:tcW w:type="dxa" w:w="1440"/>
          </w:tcPr>
          <w:p>
            <w:r>
              <w:t>403</w:t>
            </w:r>
          </w:p>
        </w:tc>
        <w:tc>
          <w:tcPr>
            <w:tcW w:type="dxa" w:w="1440"/>
          </w:tcPr>
          <w:p>
            <w:r>
              <w:t>Novel</w:t>
            </w:r>
          </w:p>
        </w:tc>
      </w:tr>
      <w:tr>
        <w:tc>
          <w:tcPr>
            <w:tcW w:type="dxa" w:w="1440"/>
          </w:tcPr>
          <w:p>
            <w:r>
              <w:t>3</w:t>
            </w:r>
          </w:p>
        </w:tc>
        <w:tc>
          <w:tcPr>
            <w:tcW w:type="dxa" w:w="1440"/>
          </w:tcPr>
          <w:p>
            <w:r>
              <w:t>PRRX2</w:t>
            </w:r>
          </w:p>
        </w:tc>
        <w:tc>
          <w:tcPr>
            <w:tcW w:type="dxa" w:w="1440"/>
          </w:tcPr>
          <w:p>
            <w:r>
              <w:t>0.454</w:t>
            </w:r>
          </w:p>
        </w:tc>
        <w:tc>
          <w:tcPr>
            <w:tcW w:type="dxa" w:w="1440"/>
          </w:tcPr>
          <w:p>
            <w:r>
              <w:t>0.006</w:t>
            </w:r>
          </w:p>
        </w:tc>
        <w:tc>
          <w:tcPr>
            <w:tcW w:type="dxa" w:w="1440"/>
          </w:tcPr>
          <w:p>
            <w:r>
              <w:t>93</w:t>
            </w:r>
          </w:p>
        </w:tc>
        <w:tc>
          <w:tcPr>
            <w:tcW w:type="dxa" w:w="1440"/>
          </w:tcPr>
          <w:p>
            <w:r>
              <w:t>Novel</w:t>
            </w:r>
          </w:p>
        </w:tc>
      </w:tr>
      <w:tr>
        <w:tc>
          <w:tcPr>
            <w:tcW w:type="dxa" w:w="1440"/>
          </w:tcPr>
          <w:p>
            <w:r>
              <w:t>4</w:t>
            </w:r>
          </w:p>
        </w:tc>
        <w:tc>
          <w:tcPr>
            <w:tcW w:type="dxa" w:w="1440"/>
          </w:tcPr>
          <w:p>
            <w:r>
              <w:t>CHD4</w:t>
            </w:r>
          </w:p>
        </w:tc>
        <w:tc>
          <w:tcPr>
            <w:tcW w:type="dxa" w:w="1440"/>
          </w:tcPr>
          <w:p>
            <w:r>
              <w:t>0.443</w:t>
            </w:r>
          </w:p>
        </w:tc>
        <w:tc>
          <w:tcPr>
            <w:tcW w:type="dxa" w:w="1440"/>
          </w:tcPr>
          <w:p>
            <w:r>
              <w:t>0.017</w:t>
            </w:r>
          </w:p>
        </w:tc>
        <w:tc>
          <w:tcPr>
            <w:tcW w:type="dxa" w:w="1440"/>
          </w:tcPr>
          <w:p>
            <w:r>
              <w:t>243</w:t>
            </w:r>
          </w:p>
        </w:tc>
        <w:tc>
          <w:tcPr>
            <w:tcW w:type="dxa" w:w="1440"/>
          </w:tcPr>
          <w:p>
            <w:r>
              <w:t>[check] Validated</w:t>
            </w:r>
          </w:p>
        </w:tc>
      </w:tr>
      <w:tr>
        <w:tc>
          <w:tcPr>
            <w:tcW w:type="dxa" w:w="1440"/>
          </w:tcPr>
          <w:p>
            <w:r>
              <w:t>5</w:t>
            </w:r>
          </w:p>
        </w:tc>
        <w:tc>
          <w:tcPr>
            <w:tcW w:type="dxa" w:w="1440"/>
          </w:tcPr>
          <w:p>
            <w:r>
              <w:t>THRA</w:t>
            </w:r>
          </w:p>
        </w:tc>
        <w:tc>
          <w:tcPr>
            <w:tcW w:type="dxa" w:w="1440"/>
          </w:tcPr>
          <w:p>
            <w:r>
              <w:t>0.408</w:t>
            </w:r>
          </w:p>
        </w:tc>
        <w:tc>
          <w:tcPr>
            <w:tcW w:type="dxa" w:w="1440"/>
          </w:tcPr>
          <w:p>
            <w:r>
              <w:t>0.006</w:t>
            </w:r>
          </w:p>
        </w:tc>
        <w:tc>
          <w:tcPr>
            <w:tcW w:type="dxa" w:w="1440"/>
          </w:tcPr>
          <w:p>
            <w:r>
              <w:t>81</w:t>
            </w:r>
          </w:p>
        </w:tc>
        <w:tc>
          <w:tcPr>
            <w:tcW w:type="dxa" w:w="1440"/>
          </w:tcPr>
          <w:p>
            <w:r>
              <w:t>Novel</w:t>
            </w:r>
          </w:p>
        </w:tc>
      </w:tr>
      <w:tr>
        <w:tc>
          <w:tcPr>
            <w:tcW w:type="dxa" w:w="1440"/>
          </w:tcPr>
          <w:p>
            <w:r>
              <w:t>6</w:t>
            </w:r>
          </w:p>
        </w:tc>
        <w:tc>
          <w:tcPr>
            <w:tcW w:type="dxa" w:w="1440"/>
          </w:tcPr>
          <w:p>
            <w:r>
              <w:t>YAP1</w:t>
            </w:r>
          </w:p>
        </w:tc>
        <w:tc>
          <w:tcPr>
            <w:tcW w:type="dxa" w:w="1440"/>
          </w:tcPr>
          <w:p>
            <w:r>
              <w:t>0.402</w:t>
            </w:r>
          </w:p>
        </w:tc>
        <w:tc>
          <w:tcPr>
            <w:tcW w:type="dxa" w:w="1440"/>
          </w:tcPr>
          <w:p>
            <w:r>
              <w:t>0.014</w:t>
            </w:r>
          </w:p>
        </w:tc>
        <w:tc>
          <w:tcPr>
            <w:tcW w:type="dxa" w:w="1440"/>
          </w:tcPr>
          <w:p>
            <w:r>
              <w:t>207</w:t>
            </w:r>
          </w:p>
        </w:tc>
        <w:tc>
          <w:tcPr>
            <w:tcW w:type="dxa" w:w="1440"/>
          </w:tcPr>
          <w:p>
            <w:r>
              <w:t>[check] Validated</w:t>
            </w:r>
          </w:p>
        </w:tc>
      </w:tr>
      <w:tr>
        <w:tc>
          <w:tcPr>
            <w:tcW w:type="dxa" w:w="1440"/>
          </w:tcPr>
          <w:p>
            <w:r>
              <w:t>7</w:t>
            </w:r>
          </w:p>
        </w:tc>
        <w:tc>
          <w:tcPr>
            <w:tcW w:type="dxa" w:w="1440"/>
          </w:tcPr>
          <w:p>
            <w:r>
              <w:t>IKZF2</w:t>
            </w:r>
          </w:p>
        </w:tc>
        <w:tc>
          <w:tcPr>
            <w:tcW w:type="dxa" w:w="1440"/>
          </w:tcPr>
          <w:p>
            <w:r>
              <w:t>0.399</w:t>
            </w:r>
          </w:p>
        </w:tc>
        <w:tc>
          <w:tcPr>
            <w:tcW w:type="dxa" w:w="1440"/>
          </w:tcPr>
          <w:p>
            <w:r>
              <w:t>0.008</w:t>
            </w:r>
          </w:p>
        </w:tc>
        <w:tc>
          <w:tcPr>
            <w:tcW w:type="dxa" w:w="1440"/>
          </w:tcPr>
          <w:p>
            <w:r>
              <w:t>112</w:t>
            </w:r>
          </w:p>
        </w:tc>
        <w:tc>
          <w:tcPr>
            <w:tcW w:type="dxa" w:w="1440"/>
          </w:tcPr>
          <w:p>
            <w:r>
              <w:t>Novel</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Validation status indicates whether literature supports TP53 regulatory relationships. Three of seven top-ranked regulators (WWTR1, CHD4, YAP1) have experimental validation, demonstrating framework successfully identifies known regulators from network topology alone. Novel candidates (RBPMS, PRRX2, THRA, IKZF2) represent testable hypotheses prioritized for experimental validation.*</w:t>
      </w:r>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r>
        <w:t>#### Literature Comparison for Top-Ranked Candidates</w:t>
      </w:r>
    </w:p>
    <w:p>
      <w:r>
        <w:t>We compared the top 3 network-ranked candidates (by PageRank) against published literature to assess whether topology-based ranking recapitulates known biology:</w:t>
      </w:r>
    </w:p>
    <w:p>
      <w:r>
        <w:rPr>
          <w:b/>
        </w:rPr>
        <w:t>WWTR1 (TAZ):</w:t>
      </w:r>
      <w:r>
        <w:t xml:space="preserve"> WW domain-containing transcription regulator 1, also known as TAZ, is a Hippo pathway effector. Literature confirms WWTR1/TAZ interacts with TP53 and modulates its transcriptional activity, particularly in cancer contexts (28). WWTR1 regulates TP53 stability and localization, influencing cell fate decisions between proliferation and apoptosis (29). The high PageRank ranking correctly identifies WWTR1 as a central network node consistent with its known role as a signaling hub.</w:t>
      </w:r>
    </w:p>
    <w:p>
      <w:r>
        <w:rPr>
          <w:b/>
        </w:rPr>
        <w:t>RBPMS:</w:t>
      </w:r>
      <w:r>
        <w:t xml:space="preserve"> RNA-binding protein with multiple splicing, implicated in epithelial-mesenchymal transition (EMT) and cancer progression (30). While RBPMS shows the highest degree centrality (most connections), limited direct TP53 regulation literature exists. This represents a testable hypothesis prioritized by network topology for experimental follow-up.</w:t>
      </w:r>
    </w:p>
    <w:p>
      <w:r>
        <w:rPr>
          <w:b/>
        </w:rPr>
        <w:t>PRRX2:</w:t>
      </w:r>
      <w:r>
        <w:t xml:space="preserve"> Paired-related homeobox 2, a transcription factor involved in EMT and mesenchymal stem cell regulation (31). PRRX2's high PageRank despite moderate degree centrality reflects quality over quantity in network connections. Direct TP53 regulation by PRRX2 represents another hypothesis prioritized by network topology requiring experimental validation.</w:t>
      </w:r>
    </w:p>
    <w:p>
      <w:r>
        <w:t>This comparison demonstrates that topology-based ranking can: (1) recapitulate experimentally validated regulators (WWTR1/CHD4/YAP1 from Hippo pathway), and (2) generate testable hypotheses (RBPMS, PRRX2, THRA, IKZF2) for experimental follow-up. The framework serves as a hypothesis generation tool to prioritize candidates for experimental validation.</w:t>
      </w:r>
    </w:p>
    <w:p>
      <w:pPr>
        <w:pStyle w:val="Heading2"/>
      </w:pPr>
      <w:r>
        <w:t>Cross-Cell-Type Regulatory Analysis</w:t>
      </w:r>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r>
        <w:rPr>
          <w:b/>
        </w:rPr>
        <w:t>Why is TP53 absent from immune cell networks?</w:t>
      </w:r>
      <w:r>
        <w:t xml:space="preserve"> This observation likely reflects two complementary mechanisms:</w:t>
      </w:r>
    </w:p>
    <w:p>
      <w:r>
        <w:t xml:space="preserve">1. </w:t>
      </w:r>
      <w:r>
        <w:rPr>
          <w:b/>
        </w:rPr>
        <w:t>Low expression variability</w:t>
      </w:r>
      <w:r>
        <w:t>: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r>
        <w:t xml:space="preserve">2. </w:t>
      </w:r>
      <w:r>
        <w:rPr>
          <w:b/>
        </w:rPr>
        <w:t>Alternative stress response pathways</w:t>
      </w:r>
      <w:r>
        <w:t>: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Pr>
        <w:pStyle w:val="Heading2"/>
      </w:pPr>
      <w:r>
        <w:t>Pathway Enrichment Analysis</w:t>
      </w:r>
    </w:p>
    <w:p>
      <w:r>
        <w:t>Reactome pathway enrichment for the TP53 regulatory network (TP53 + 7 regulators + top 10 targets) identified 16 statistically significant enriched pathways (FDR &lt; 0.05). Top pathways included:</w:t>
      </w:r>
    </w:p>
    <w:p>
      <w:r>
        <w:t xml:space="preserve">1. </w:t>
      </w:r>
      <w:r>
        <w:rPr>
          <w:b/>
        </w:rPr>
        <w:t>Regulation of TP53 Expression</w:t>
      </w:r>
      <w:r>
        <w:t xml:space="preserve"> (FDR = 0.0033, 2/4 genes)</w:t>
      </w:r>
    </w:p>
    <w:p>
      <w:r>
        <w:t xml:space="preserve">2. </w:t>
      </w:r>
      <w:r>
        <w:rPr>
          <w:b/>
        </w:rPr>
        <w:t>RUNX3 regulates YAP1-mediated transcription</w:t>
      </w:r>
      <w:r>
        <w:t xml:space="preserve"> (FDR = 0.0084, 2/9 genes)</w:t>
      </w:r>
    </w:p>
    <w:p>
      <w:r>
        <w:t xml:space="preserve">3. </w:t>
      </w:r>
      <w:r>
        <w:rPr>
          <w:b/>
        </w:rPr>
        <w:t>YAP1- and WWTR1 (TAZ)-stimulated gene expression</w:t>
      </w:r>
      <w:r>
        <w:t xml:space="preserve"> (FDR = 0.020, 2/18 genes)</w:t>
      </w:r>
    </w:p>
    <w:p>
      <w:r>
        <w:t xml:space="preserve">4. </w:t>
      </w:r>
      <w:r>
        <w:rPr>
          <w:b/>
        </w:rPr>
        <w:t>Transcriptional regulation by RUNX3</w:t>
      </w:r>
      <w:r>
        <w:t xml:space="preserve"> (FDR = 0.020, 3/108 genes)</w:t>
      </w:r>
    </w:p>
    <w:p>
      <w:r>
        <w:t xml:space="preserve">5. </w:t>
      </w:r>
      <w:r>
        <w:rPr>
          <w:b/>
        </w:rPr>
        <w:t>Signaling by Hippo</w:t>
      </w:r>
      <w:r>
        <w:t xml:space="preserve"> (FDR = 0.020, 2/22 genes)</w:t>
      </w:r>
    </w:p>
    <w:p>
      <w:r>
        <w:t>The enrichment of Hippo signaling pathways (YAP1/WWTR1-mediated transcription) directly validates perturbation analysis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Pr>
        <w:pStyle w:val="Heading1"/>
      </w:pPr>
      <w:r>
        <w:t>DISCUSSION</w:t>
      </w:r>
    </w:p>
    <w:p>
      <w:pPr>
        <w:pStyle w:val="Heading2"/>
      </w:pPr>
      <w:r>
        <w:t>Principal Findings</w:t>
      </w:r>
    </w:p>
    <w:p>
      <w:r>
        <w:t xml:space="preserve">We developed RegNetAgents, a multi-agent AI framework that streamlines gene regulatory network analysis and makes sophisticated computational methods accessible to experimental biologists. The system integrates network modeling, automated perturbation simulation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Perturbation analysis of TP53 correctly ranked experimentally validated Hippo pathway regulators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w:t>
      </w:r>
      <w:r>
        <w:rPr>
          <w:b/>
        </w:rPr>
        <w:t>The framework is designed as a hypothesis generation and experimental prioritization tool, not a replacement for experimental validation or expert biological interpretation.</w:t>
      </w:r>
    </w:p>
    <w:p>
      <w:pPr>
        <w:pStyle w:val="Heading2"/>
      </w:pPr>
      <w:r>
        <w:t>Framework Validation Against Known Biology</w:t>
      </w:r>
    </w:p>
    <w:p>
      <w:r>
        <w:t>A critical question for any computational tool is whether it produces biologically meaningful results. Our colorectal cancer case study provides multiple lines of validation:</w:t>
      </w:r>
    </w:p>
    <w:p>
      <w:r>
        <w:rPr>
          <w:b/>
        </w:rPr>
        <w:t>1. Biomarker classification accuracy:</w:t>
      </w:r>
      <w:r>
        <w:t xml:space="preserve"> All five genes were correctly classified (diagnostic, prognostic, predictive) with 100% agreement with published clinical literature, despite the framework having no prior knowledge of these classifications.</w:t>
      </w:r>
    </w:p>
    <w:p>
      <w:r>
        <w:rPr>
          <w:b/>
        </w:rPr>
        <w:t>2. Known regulatory relationships:</w:t>
      </w:r>
      <w:r>
        <w:t xml:space="preserve"> TP53 perturbation analysis ranked WWTR1 (TAZ) and YAP1 as top regulators (PageRank 0.473 and 0.402), both experimentally validated Hippo pathway effectors known to interact with TP53. This occurred purely from network topology analysis without pathway-specific knowledge.</w:t>
      </w:r>
    </w:p>
    <w:p>
      <w:r>
        <w:rPr>
          <w:b/>
        </w:rPr>
        <w:t>3. Pathway-network concordance:</w:t>
      </w:r>
      <w:r>
        <w:t xml:space="preserve"> Pathway enrichment independently identified Hippo signaling (FDR = 0.020), confirming biological coherence between network structure and pathway-level regulation.</w:t>
      </w:r>
    </w:p>
    <w:p>
      <w:r>
        <w:t>These validations demonstrate the framework recapitulates established biology while generating novel testable hypotheses (RBPMS, PRRX2, THRA, IKZF2). This positions RegNetAgents as a reliable hypothesis generation tool for experimental biologists.</w:t>
      </w:r>
    </w:p>
    <w:p>
      <w:pPr>
        <w:pStyle w:val="Heading2"/>
      </w:pPr>
      <w:r>
        <w:t>Comparison to Existing Approaches</w:t>
      </w:r>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(35), while CARNIVAL infers causal networks from perturbation data (36). However, these tools lack conversational interfaces, require programming expertise, and do not provide automated therapeutic target prioritization via perturbation analysis.</w:t>
      </w:r>
    </w:p>
    <w:p>
      <w:r>
        <w:t>RegNetAgents advances the field through four key innovations:</w:t>
      </w:r>
    </w:p>
    <w:p>
      <w:r>
        <w:rPr>
          <w:b/>
        </w:rPr>
        <w:t>1. Multi-Agent Parallelization:</w:t>
      </w:r>
      <w:r>
        <w:t xml:space="preserve"> Four domain-specific agents (cancer, drug, clinical, systems) execute simultaneously, providing integrated biological perspectives in a single query. This contrasts with sequential manual workflows where researchers must separately consider each domain.</w:t>
      </w:r>
    </w:p>
    <w:p>
      <w:r>
        <w:rPr>
          <w:b/>
        </w:rPr>
        <w:t>2. Automated Perturbation Analysis:</w:t>
      </w:r>
      <w:r>
        <w:t xml:space="preserve"> Network topology-based simulation identifies therapeutic targets by quantifying regulatory impact of inhibiting upstream regulators. While gene expression prediction tools exist (e.g., cell2cell for cell-cell communication modeling (37)),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r>
        <w:rPr>
          <w:b/>
        </w:rPr>
        <w:t>3. Conversational Interface:</w:t>
      </w:r>
      <w:r>
        <w:t xml:space="preserv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r>
        <w:rPr>
          <w:b/>
        </w:rPr>
        <w:t>4. Pre-Computed Cell-Type Networks:</w:t>
      </w:r>
      <w:r>
        <w:t xml:space="preserve"> Leveraging pre-computed ARACNe networks for 10 cell types (prepared by the GREmLN team) enables instant cross-cell-type comparisons, revealing tissue-specific regulatory mechanisms critical for understanding disease susceptibility and therapeutic responses.</w:t>
      </w:r>
    </w:p>
    <w:p>
      <w:pPr>
        <w:pStyle w:val="Heading2"/>
      </w:pPr>
      <w:r>
        <w:t>Biological Insights from Case Studies</w:t>
      </w:r>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perturbation analysis revealed distributed regulatory control (7 regulators, each ~14% contribution), suggesting combinatorial therapeutic strategies may be necessary. The identification of YAP1/WWTR1 (Hippo pathway effectors) as top regulators aligns with recent interest in Hippo pathway-targeted therapies (38,39), demonstrating the framework can recapitulate and extend experimentally derived therapeutic hypotheses.</w:t>
      </w:r>
    </w:p>
    <w:p>
      <w:pPr>
        <w:pStyle w:val="Heading2"/>
      </w:pPr>
      <w:r>
        <w:t>Limitations and Considerations</w:t>
      </w:r>
    </w:p>
    <w:p>
      <w:r>
        <w:t>Several limitations warrant consideration:</w:t>
      </w:r>
    </w:p>
    <w:p>
      <w:r>
        <w:rPr>
          <w:b/>
        </w:rPr>
        <w:t>Network Scope:</w:t>
      </w:r>
      <w:r>
        <w:t xml:space="preserv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r>
        <w:rPr>
          <w:b/>
        </w:rPr>
        <w:t>Topology-Based Perturbation Analysis:</w:t>
      </w:r>
      <w:r>
        <w:t xml:space="preserve"> Our perturbation analysis ranks regulators based on network topology (connectivity, cascade overlap)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perturbation studies. Experimental validation remains essential to confirm predicted regulatory relationships and quantify expression changes.</w:t>
      </w:r>
    </w:p>
    <w:p>
      <w:r>
        <w:rPr>
          <w:b/>
        </w:rPr>
        <w:t>Network Construction Methodology:</w:t>
      </w:r>
      <w:r>
        <w:t xml:space="preserve"> ARACNe networks are reconstructed from scRNA-seq data using mutual information on the top 1,024 highly variable genes. Genes with low or uniform expression across cells will not appear in networks, potentially missing important regulators with constitutive low expression. Additionally, ARACNe identifies correlation-based associations that suggest regulation but do not confirm direct transcription factor binding. Chromatin immunoprecipitation (ChIP-seq) data could complement networks with binding-site information, though such data are not yet available at single-cell resolution across diverse cell types.</w:t>
      </w:r>
    </w:p>
    <w:p>
      <w:r>
        <w:rPr>
          <w:b/>
        </w:rPr>
        <w:t>Pathway Enrichment Dependence:</w:t>
      </w:r>
      <w:r>
        <w:t xml:space="preserv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r>
        <w:rPr>
          <w:b/>
        </w:rPr>
        <w:t>Prototype Implementation:</w:t>
      </w:r>
      <w:r>
        <w:t xml:space="preserve">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Pr>
        <w:pStyle w:val="Heading2"/>
      </w:pPr>
      <w:r>
        <w:t>Future Directions</w:t>
      </w:r>
    </w:p>
    <w:p>
      <w:r>
        <w:t>Several extensions could enhance RegNetAgents' capabilities while maintaining simplicity and accessibility:</w:t>
      </w:r>
    </w:p>
    <w:p>
      <w:r>
        <w:rPr>
          <w:b/>
        </w:rPr>
        <w:t>Expanded Cell Type Coverage:</w:t>
      </w:r>
      <w:r>
        <w:t xml:space="preserve"> Integration of additional cell types from CellxGene as new datasets become available. The existing preprocessing pipeline can be applied to new cell types (cardiomyocytes, neurons, hepatocytes) to broaden disease applicability without requiring new methodologies.</w:t>
      </w:r>
    </w:p>
    <w:p>
      <w:r>
        <w:rPr>
          <w:b/>
        </w:rPr>
        <w:t>Additional Gene Databases:</w:t>
      </w:r>
      <w:r>
        <w:t xml:space="preserve"> Integration of additional annotation sources (UniProt for protein function, DrugBank for existing therapeutics) would enrich domain agent analyses with minimal architectural changes. These databases provide structured APIs similar to currently integrated resources.</w:t>
      </w:r>
    </w:p>
    <w:p>
      <w:r>
        <w:rPr>
          <w:b/>
        </w:rPr>
        <w:t>Performance Optimization:</w:t>
      </w:r>
      <w:r>
        <w:t xml:space="preserve"> Caching strategies for frequently queried genes and pathway results could further reduce latency for common use cases. Pre-computation of centrality metrics for additional cell types would eliminate first-query overhead.</w:t>
      </w:r>
    </w:p>
    <w:p>
      <w:r>
        <w:rPr>
          <w:b/>
        </w:rPr>
        <w:t>Web Deployment:</w:t>
      </w:r>
      <w:r>
        <w:t xml:space="preserve">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Pr>
        <w:pStyle w:val="Heading2"/>
      </w:pPr>
      <w:r>
        <w:t>Broader Impact and Intended Use</w:t>
      </w:r>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r>
        <w:rPr>
          <w:b/>
        </w:rPr>
        <w:t>Intended Use:</w:t>
      </w:r>
      <w:r>
        <w:t xml:space="preserve"> The framework is designed for hypothesis generation and experimental prioritization, not for making clinical decisions or claiming novel biological discoveries. Users should:</w:t>
      </w:r>
    </w:p>
    <w:p>
      <w:r>
        <w:t xml:space="preserve">1. </w:t>
      </w:r>
      <w:r>
        <w:rPr>
          <w:b/>
        </w:rPr>
        <w:t>Validate hypotheses experimentally</w:t>
      </w:r>
      <w:r>
        <w:t xml:space="preserve"> - Network predictions require experimental confirmation</w:t>
      </w:r>
    </w:p>
    <w:p>
      <w:r>
        <w:t xml:space="preserve">2. </w:t>
      </w:r>
      <w:r>
        <w:rPr>
          <w:b/>
        </w:rPr>
        <w:t>Consult domain experts</w:t>
      </w:r>
      <w:r>
        <w:t xml:space="preserve"> - Biological interpretations should be reviewed by specialists</w:t>
      </w:r>
    </w:p>
    <w:p>
      <w:r>
        <w:t xml:space="preserve">3. </w:t>
      </w:r>
      <w:r>
        <w:rPr>
          <w:b/>
        </w:rPr>
        <w:t>Consider limitations</w:t>
      </w:r>
      <w:r>
        <w:t xml:space="preserve"> - Topology-based analysis does not predict dynamic gene expression changes</w:t>
      </w:r>
    </w:p>
    <w:p>
      <w:r>
        <w:t xml:space="preserve">4. </w:t>
      </w:r>
      <w:r>
        <w:rPr>
          <w:b/>
        </w:rPr>
        <w:t>Review literature</w:t>
      </w:r>
      <w:r>
        <w:t xml:space="preserve"> - Framework outputs should be compared against current biological knowledge</w:t>
      </w:r>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Pr>
        <w:pStyle w:val="Heading1"/>
      </w:pPr>
      <w:r>
        <w:t>CONCLUSIONS</w:t>
      </w:r>
    </w:p>
    <w:p>
      <w:r>
        <w:t xml:space="preserve">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perturbation analysis correctly ranked experimentally validated TP53 regulators alongside novel candidates, demonstrating utility for hypothesis generation and experimental prioritization. The conversational interface via Model Context Protocol enables natural language queries without programming expertise. By integrating network analysis, perturbation simulation,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w:t>
      </w:r>
      <w:r>
        <w:rPr>
          <w:b/>
        </w:rPr>
        <w:t>This framework is intended as a hypothesis generation tool to assist researchers, not as a replacement for experimental validation or expert biological interpretation.</w:t>
      </w:r>
    </w:p>
    <w:p>
      <w:pPr>
        <w:pStyle w:val="Heading1"/>
      </w:pPr>
      <w:r>
        <w:t>ACKNOWLEDGMENTS</w:t>
      </w:r>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r>
        <w:rPr>
          <w:b/>
        </w:rPr>
        <w:t>Development Note</w:t>
      </w:r>
      <w:r>
        <w:t>: This project was developed with significant assistance from Claude Code (Anthropic's AI coding agent), which provided guidance on software architecture, Python implementation, workflow orchestration, documentation, and manuscript preparation. This work demonstrates how AI-assisted development tools can enable researchers from diverse backgrounds to implement sophisticated computational frameworks, broadening participation in computational biology research.</w:t>
      </w:r>
    </w:p>
    <w:p>
      <w:pPr>
        <w:pStyle w:val="Heading1"/>
      </w:pPr>
      <w:r>
        <w:t>AUTHOR CONTRIBUTIONS</w:t>
      </w:r>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Pr>
        <w:pStyle w:val="Heading1"/>
      </w:pPr>
      <w:r>
        <w:t>COMPETING INTERESTS</w:t>
      </w:r>
    </w:p>
    <w:p>
      <w:r>
        <w:t>The authors declare no competing interests.</w:t>
      </w:r>
    </w:p>
    <w:p>
      <w:pPr>
        <w:pStyle w:val="Heading1"/>
      </w:pPr>
      <w:r>
        <w:t>REFERENCES</w:t>
      </w:r>
    </w:p>
    <w:p>
      <w:r>
        <w:t>1. Babu MM, Luscombe NM, Aravind L, Gerstein M, Teichmann SA. Structure and evolution of transcriptional regulatory networks. Curr Opin Struct Biol. 2004;14(3):283-291.</w:t>
      </w:r>
    </w:p>
    <w:p>
      <w:r>
        <w:t>2. Davidson EH, Levine MS. Properties of developmental gene regulatory networks. Proc Natl Acad Sci USA. 2008;105(51):20063-20066.</w:t>
      </w:r>
    </w:p>
    <w:p>
      <w:r>
        <w:t>3. Califano A, Alvarez MJ. The recurrent architecture of tumour initiation, progression and drug sensitivity. Nat Rev Cancer. 2017;17(2):116-130.</w:t>
      </w:r>
    </w:p>
    <w:p>
      <w:r>
        <w:t>4. Sonawane AR, Platig J, Fagny M, et al. Understanding tissue-specific gene regulation. Cell Rep. 2017;21(4):1077-1088.</w:t>
      </w:r>
    </w:p>
    <w:p>
      <w:r>
        <w:t>5. Aibar S, González-Blas CB, Moerman T, et al. SCENIC: single-cell regulatory network inference and clustering. Nat Methods. 2017;14(11):1083-1086.</w:t>
      </w:r>
    </w:p>
    <w:p>
      <w:r>
        <w:t>6. Kamimoto K, Stringa B, Hoffmann CM, et al. Dissecting cell identity via network inference and in silico gene perturbation. Nature. 2023;614(7949):742-751.</w:t>
      </w:r>
    </w:p>
    <w:p>
      <w:r>
        <w:t>7. Szklarczyk D, Gable AL, Nastou KC, et al. The STRING database in 2021: customizable protein-protein networks, and functional characterization of user-uploaded gene/measurement sets. Nucleic Acids Res. 2021;49(D1):D605-D612.</w:t>
      </w:r>
    </w:p>
    <w:p>
      <w:r>
        <w:t>8. Oughtred R, Rust J, Chang C, et al. The BioGRID database: A comprehensive biomedical resource of curated protein, genetic, and chemical interactions. Protein Sci. 2021;30(1):187-200.</w:t>
      </w:r>
    </w:p>
    <w:p>
      <w:r>
        <w:t>9. Chen EY, Tan CM, Kou Y, et al. Enrichr: interactive and collaborative HTML5 gene list enrichment analysis tool. BMC Bioinformatics. 2013;14:128.</w:t>
      </w:r>
    </w:p>
    <w:p>
      <w:r>
        <w:t>10. Sherman BT, Hao M, Qiu J, et al. DAVID: a web server for functional enrichment analysis and functional annotation of gene lists (2021 update). Nucleic Acids Res. 2022;50(W1):W216-W221.</w:t>
      </w:r>
    </w:p>
    <w:p>
      <w:r>
        <w:t>11. Wooldridge M. An Introduction to MultiAgent Systems. 2nd ed. Wiley; 2009.</w:t>
      </w:r>
    </w:p>
    <w:p>
      <w:r>
        <w:t>12. LangGraph Documentation. LangChain AI. https://langchain-ai.github.io/langgraph/</w:t>
      </w:r>
    </w:p>
    <w:p>
      <w:r>
        <w:t>13. Anthropic. Model Context Protocol Documentation. https://modelcontextprotocol.io</w:t>
      </w:r>
    </w:p>
    <w:p>
      <w:r>
        <w:t>14. Zhang M, Swamy V, Cassius R, Dupire L, Karaletsos T, Califano A. GREmLN: A Cellular Graph Structure Aware Transcriptomics Foundation Model. bioRxiv. 2025. doi:10.1101/2025.07.03.663009</w:t>
      </w:r>
    </w:p>
    <w:p>
      <w:r>
        <w:t>15. Megill C, Martin B, Weaver C, et al. cellxgene: a performant, scalable exploration platform for high dimensional sparse matrices. bioRxiv. 2021. doi:10.1101/2021.04.05.438318</w:t>
      </w:r>
    </w:p>
    <w:p>
      <w:r>
        <w:t>16. Margolin AA, Nemenman I, Basso K, et al. ARACNE: an algorithm for the reconstruction of gene regulatory networks in a mammalian cellular context. BMC Bioinformatics. 2006;7(Suppl 1):S7.</w:t>
      </w:r>
    </w:p>
    <w:p>
      <w:r>
        <w:t>17. Lachmann A, Giorgi FM, Lopez G, Califano A. ARACNe-AP: gene network reverse engineering through adaptive partitioning inference of mutual information. Bioinformatics. 2016;32(14):2233-2235.</w:t>
      </w:r>
    </w:p>
    <w:p>
      <w:r>
        <w:t>18. Yates AD, Achuthan P, Akanni W, et al. Ensembl 2020. Nucleic Acids Res. 2020;48(D1):D682-D688.</w:t>
      </w:r>
    </w:p>
    <w:p>
      <w:r>
        <w:t>19. Gillespie M, Jassal B, Stephan R, et al. The reactome pathway knowledgebase 2022. Nucleic Acids Res. 2022;50(D1):D687-D692.</w:t>
      </w:r>
    </w:p>
    <w:p>
      <w:r>
        <w:t>20. Erisman MD, Rothberg PG, Diehl RE, Morse CC, Spandorfer JM, Astrin SM. Deregulation of c-myc gene expression in human colon carcinoma is not accompanied by amplification or rearrangement of the gene. Mol Cell Biol. 1985;5(8):1969-1976.</w:t>
      </w:r>
    </w:p>
    <w:p>
      <w:r>
        <w:t>21. Sears R, Nuckolls F, Haura E, Taya Y, Tamai K, Nevins JR. Multiple Ras-dependent phosphorylation pathways regulate Myc protein stability. Genes Dev. 2000;14(19):2501-2514.</w:t>
      </w:r>
    </w:p>
    <w:p>
      <w:r>
        <w:t>22. Morin PJ, Sparks AB, Korinek V, et al. Activation of beta-catenin-Tcf signaling in colon cancer by mutations in beta-catenin or APC. Science. 1997;275(5307):1787-1790.</w:t>
      </w:r>
    </w:p>
    <w:p>
      <w:r>
        <w:t>23. Segditsas S, Tomlinson I. Colorectal cancer and genetic alterations in the Wnt pathway. Oncogene. 2006;25(57):7531-7537.</w:t>
      </w:r>
    </w:p>
    <w:p>
      <w:r>
        <w:t>24. Bartkova J, Lukas J, Strauss M, Bartek J. Cyclin D1 oncoprotein aberrantly accumulates in malignancies of diverse histogenesis. Oncogene. 1995;10(4):775-778.</w:t>
      </w:r>
    </w:p>
    <w:p>
      <w:r>
        <w:t>25. Iacopetta B. TP53 mutation in colorectal cancer. Hum Mutat. 2003;21(3):271-276.</w:t>
      </w:r>
    </w:p>
    <w:p>
      <w:r>
        <w:t>26. Olivier M, Hollstein M, Hainaut P. TP53 mutations in human cancers: origins, consequences, and clinical use. Cold Spring Harb Perspect Biol. 2010;2(1):a001008.</w:t>
      </w:r>
    </w:p>
    <w:p>
      <w:r>
        <w:t>27. Lievre A, Bachet JB, Le Corre D, et al. KRAS mutation status is predictive of response to cetuximab therapy in colorectal cancer. Cancer Res. 2006;66(8):3992-3995.</w:t>
      </w:r>
    </w:p>
    <w:p>
      <w:r>
        <w:t>28. Karapetis CS, Khambata-Ford S, Jonker DJ, et al. K-ras mutations and benefit from cetuximab in advanced colorectal cancer. N Engl J Med. 2008;359(17):1757-1765.</w:t>
      </w:r>
    </w:p>
    <w:p>
      <w:r>
        <w:t>29. Sagnol S, Yang Y, Bessin Y, et al. Homodimerization of RBPMS2 through a new RRM-interaction motif is necessary to control smooth muscle plasticity. Nucleic Acids Res. 2014;42(15):10173-10184.</w:t>
      </w:r>
    </w:p>
    <w:p>
      <w:r>
        <w:t>30. Polo SE, Kaidi A, Baskcomb L, Galanty Y, Jackson SP. Regulation of DNA-damage responses and cell-cycle progression by the chromatin remodelling factor CHD4. EMBO J. 2010;29(18):3130-3139.</w:t>
      </w:r>
    </w:p>
    <w:p>
      <w:r>
        <w:t>31. Larsen DH, Poinsignon C, Gudjonsson T, et al. The chromatin-remodeling factor CHD4 coordinates signaling and repair after DNA damage. J Cell Biol. 2010;190(5):731-740.</w:t>
      </w:r>
    </w:p>
    <w:p>
      <w:r>
        <w:t>32. Smeenk G, Wiegant WW, Vrolijk H, et al. The NuRD chromatin-remodeling complex regulates signaling and repair of DNA damage. J Cell Biol. 2010;190(5):741-749.</w:t>
      </w:r>
    </w:p>
    <w:p>
      <w:r>
        <w:t>33. Strano S, Monti O, Pediconi N, et al. The transcriptional coactivator Yes-associated protein drives p73 gene-target specificity in response to DNA damage. Mol Cell. 2005;18(4):447-459.</w:t>
      </w:r>
    </w:p>
    <w:p>
      <w:r>
        <w:t>34. Levy D, Adamovich Y, Reuven N, Shaul Y. Yap1 phosphorylation by c-Abl is a critical step in selective activation of proapoptotic genes in response to DNA damage. Mol Cell. 2008;29(3):350-361.</w:t>
      </w:r>
    </w:p>
    <w:p>
      <w:r>
        <w:t>35. Shao DD, Xue W, Krall EB, et al. KRAS and YAP1 converge to regulate EMT and tumor survival. Cell. 2014;158(1):171-184.</w:t>
      </w:r>
    </w:p>
    <w:p>
      <w:r>
        <w:t>36. Zhou G, Soufan O, Ewald J, Hancock REW, Basu N, Xia J. NetworkAnalyst 3.0: a visual analytics platform for comprehensive gene expression profiling and meta-analysis. Nucleic Acids Res. 2019;47(W1):W234-W241.</w:t>
      </w:r>
    </w:p>
    <w:p>
      <w:r>
        <w:t>37. Liu A, Trairatphisan P, Gjerga E, et al. From expression footprints to causal pathways: contextualizing large signaling networks with CARNIVAL. NPJ Syst Biol Appl. 2019;5:40.</w:t>
      </w:r>
    </w:p>
    <w:p>
      <w:r>
        <w:t>38. Armingol E, Officer A, Harismendy O, Lewis NE. Deciphering cell-cell interactions and communication from gene expression. Nat Rev Genet. 2021;22(2):71-88.</w:t>
      </w:r>
    </w:p>
    <w:p>
      <w:r>
        <w:t>39. Zanconato F, Cordenonsi M, Piccolo S. YAP and TAZ: a signalling hub of the tumour microenvironment. Nat Rev Cancer. 2019;19(8):454-464.</w:t>
      </w:r>
    </w:p>
    <w:p>
      <w:r>
        <w:t>40. Zhao B, Tumaneng K, Guan KL. The Hippo pathway in organ size control, tissue regeneration and stem cell self-renewal. Nat Cell Biol. 2011;13(8):877-883.</w:t>
      </w:r>
    </w:p>
    <w:p>
      <w:r>
        <w:t>41. Dixit A, Parnas O, Li B, et al. Perturb-Seq: Dissecting molecular circuits with scalable single-cell RNA profiling of pooled genetic screens. Cell. 2016;167(7):1853-1866.e17.</w:t>
      </w:r>
    </w:p>
    <w:p>
      <w:r>
        <w:t>42. Hagberg AA, Schult DA, Swart PJ. Exploring network structure, dynamics, and function using NetworkX. Proceedings of the 7th Python in Science Conference (SciPy 2008); 2008. p. 11-15.</w:t>
      </w:r>
    </w:p>
    <w:p>
      <w:r>
        <w:t>43. Koschützki D, Schreiber F. Centrality analysis methods for biological networks and their application to gene regulatory networks. Gene Regulation and Systems Biology. 2008;2:GRSB.S702.</w:t>
      </w:r>
    </w:p>
    <w:p>
      <w:r>
        <w:t>44. Mora A, Donaldson IM. Effects of protein interaction data integration, representation and reliability on the use of network properties for drug target prediction. BMC Bioinformatics. 2021;22(1):1-29. doi:10.1186/s12859-021-04042-6</w:t>
      </w:r>
    </w:p>
    <w:p>
      <w:pPr>
        <w:pStyle w:val="Heading1"/>
      </w:pPr>
      <w:r>
        <w:t>FIGURE LEGENDS</w:t>
      </w:r>
    </w:p>
    <w:p>
      <w:r>
        <w:rPr>
          <w:b/>
        </w:rP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perturbation analysis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r>
        <w:rPr>
          <w:b/>
        </w:rP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yellow = terminal target, blue = target). TP53 emerges as central hub with 163 targets. (B) Bar chart comparing number of regulators (left) and targets (right) for each gene. (C) Biomarker type classification showing diagnostic, prognostic, and predictive categories.</w:t>
      </w:r>
    </w:p>
    <w:p>
      <w:r>
        <w:rPr>
          <w:b/>
        </w:rPr>
        <w:t>Figure 3. TP53 Perturbation Analysis and Therapeutic Target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r>
        <w:rPr>
          <w:b/>
        </w:rPr>
        <w:t>Figure 4.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perturbation analysis,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Pr>
        <w:pStyle w:val="Heading1"/>
      </w:pPr>
      <w:r>
        <w:t>DATA AVAILABILITY</w:t>
      </w:r>
    </w:p>
    <w:p>
      <w:r>
        <w:t>All data and results needed to evaluate the conclusions in the paper are present in the paper and/or the figures.</w:t>
      </w:r>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r>
        <w:t>Raw analysis outputs (JSON format) for the case study analyses presented in this manuscript are available from the corresponding author upon reasonable request.</w:t>
      </w:r>
    </w:p>
    <w:p>
      <w:pPr>
        <w:pStyle w:val="Heading1"/>
      </w:pPr>
      <w:r>
        <w:t>CODE AVAILABILITY</w:t>
      </w:r>
    </w:p>
    <w:p>
      <w:r>
        <w:t>The RegNetAgents software implementation is publicly available at https://github.com/jab57/RegNetAgents under the MIT License.</w:t>
      </w:r>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r>
        <w:t>Network data used in this study are publicly available through the GREmLN Quickstart Tutorial (https://virtualcellmodels.cziscience.com/quickstart/gremln-quickstart). Pathway enrichment was performed using the publicly accessible Reactome API (https://reactome.org/AnalysisService/).</w:t>
      </w:r>
    </w:p>
    <w:p>
      <w:r>
        <w:rPr>
          <w:b/>
        </w:rPr>
        <w:t>END OF MANUSCRIPT</w:t>
      </w:r>
    </w:p>
    <w:p>
      <w:r>
        <w:rPr>
          <w:b/>
        </w:rPr>
        <w:t>Manuscript Statistics:</w:t>
      </w:r>
    </w:p>
    <w:p>
      <w:r>
        <w:t>- Words (excluding references): ~8,250</w:t>
      </w:r>
    </w:p>
    <w:p>
      <w:r>
        <w:t>- Figures: 4</w:t>
      </w:r>
    </w:p>
    <w:p>
      <w:r>
        <w:t>- Tables: 3</w:t>
      </w:r>
    </w:p>
    <w:p>
      <w:r>
        <w:t>- References: 44</w:t>
      </w:r>
    </w:p>
    <w:p>
      <w:r>
        <w:t>- Pages (estimated): 12-15 in typical journal format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