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and successfully identified experimentally validated TP53 regulators (WWTR1, YAP1) alongside novel testable hypotheses. Complete analysis of 99 regulators across 5 genes completed in 15-62 seconds, representing 480-24,000× speedup over manual workflows. RegNetAgents transforms labor-intensive analysis into second-scale automated hypothesis generation accessible to experimental biologists.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(terminal targets with &gt;10 regulators = high), and biomarker potential (diagnostic for terminal targets,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terminal targets = activation candidates), estimates development complexity (high for hubs due to potential off-target effects, moderate for intermediate nodes, low for terminal targets), and provides qualitative assessments of downstream cascade effects based on target counts.</w:t>
      </w:r>
    </w:p>
    <w:p>
      <w:r>
        <w:rPr>
          <w:b/>
        </w:rPr>
        <w:t>Clinical Relevance Agent:</w:t>
      </w:r>
      <w:r>
        <w:t xml:space="preserve"> Classifies biomarker utility (diagnostic for terminal targets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(hub/intermediate/terminal), and estimates perturbation impact scope (system-wide for hubs, localized for terminals)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terminal targets with &gt;10 regulators = high (multiple regulatory controls suggest gatekeeper function); (3) Intervention complexity: hub regulators = high (many downstream targets create off-target risks), intermediates = moderate, terminals = low; (4) Biomarker utility: terminal targets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~5 seconds per gene (4 agents in parallel, ~1.25s each)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a 480-24,000×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insights)—dramatically faster than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480-24,000× speedup across single and multi-gene analyses in both rule-based and LLM-powered modes. Manual workflow baseline: 2.5 hours per gene (conservative estimate); 5-gene panel: 12.5 hours. Horizontal bars on logarithmic scale with speedup annotations.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