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Perturbation Analysis Agent</w:t>
      </w:r>
    </w:p>
    <w:p>
      <w:r>
        <w:t>For genes with five or more upstream regulators, we perform automated perturbation analysis to identify potential therapeutic targets. This analysis ranks upstream regulators as potential therapeutic targets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(Rule-Based Mode): Domain agent classifications use network topology thresholds empirically chosen to reflect regulatory roles.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 They provide qualitative guidance for experimental prioritization in rule-based mode but should not be interpreted as validated predictive scores. LLM-powered mode does not use fixed thresholds—classifications are generated by the language model based on network context.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r>
        <w:br w:type="page"/>
      </w:r>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&lt;div style="page-break-before: always"&gt;&lt;/div&gt;</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&lt;div style="page-break-before: always"&gt;&lt;/div&gt;</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ranks candidate targets using network centrality: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keepNext/>
      </w:pPr>
      <w:r>
        <w:t>Perturbation Analysis: TP53 Candidate Regulator Prioritization</w:t>
      </w:r>
    </w:p>
    <w:p/>
    <w:p>
      <w:r>
        <w:t>To illustrate framework capabilities for hypothesis generation, we performed automated perturbation analysis on TP53, which has 7 upstream regulators in epithelial cells according to the ARACNe-inferred network. Table 3 shows all 7 regulators (complete perturbation analysis),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Perturbation Analysis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t>&lt;div style="page-break-before: always"&gt;&lt;/div&gt;</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Perturbation analysis (7 regulators)</w:t>
            </w:r>
          </w:p>
        </w:tc>
        <w:tc>
          <w:tcPr>
            <w:tcW w:type="dxa" w:w="2340"/>
          </w:tcPr>
          <w:p>
            <w:r>
              <w:t>2-4 hours (literature curation per regulator)</w:t>
            </w:r>
          </w:p>
        </w:tc>
        <w:tc>
          <w:tcPr>
            <w:tcW w:type="dxa" w:w="2340"/>
          </w:tcPr>
          <w:p>
            <w:r>
              <w:t>0.60 sec (automated)</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