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p/>
    <w:p>
      <w:pPr>
        <w:pStyle w:val="Heading2"/>
        <w:keepNext/>
      </w:pPr>
      <w:r>
        <w:t>Authors</w:t>
      </w:r>
    </w:p>
    <w:p>
      <w:r>
        <w:t>Jose A. Bird, PhD</w:t>
      </w:r>
    </w:p>
    <w:p>
      <w:r>
        <w:t>Bird AI Solutions</w:t>
      </w:r>
    </w:p>
    <w:p>
      <w:r>
        <w:t>jbird@birdaisolutions.com</w:t>
      </w:r>
    </w:p>
    <w:p/>
    <w:p/>
    <w:p/>
    <w:p>
      <w:pPr>
        <w:pStyle w:val="Heading2"/>
        <w:keepNext/>
      </w:pPr>
      <w:r>
        <w:t>ABSTRACT</w:t>
      </w:r>
    </w:p>
    <w:p/>
    <w:p>
      <w:r>
        <w:t>Gene regulatory network analysis is essential for understanding disease mechanisms, identifying biomarkers, and prioritizing therapeutic targets. Traditional workflows require manual effort across multiple databases, limiting scalability. We present RegNetAgents, an LLM-powered multi-agent framework that demonstrates automated gene regulatory network analysis through conversational interaction. This system is designed as a hypothesis generation tool to assist researchers, not as a replacement for experimental validation. The framework integrates network modeling, therapeutic target ranking, pathway enrichment, and multi-domain interpretation into a unified conversational interface accessible without programming expertise.</w:t>
      </w:r>
    </w:p>
    <w:p/>
    <w:p>
      <w:r>
        <w:t>Built on ARACNe networks from 500,000+ single cells across 10 cell types, the framework deploys four specialized agents in parallel with rule-based fallback. Therapeutic target prioritization ranks candidates using network centrality metrics (PageRank, degree centrality).</w:t>
      </w:r>
    </w:p>
    <w:p/>
    <w:p>
      <w:r>
        <w:t>In a five-gene colorectal cancer case study (MYC, CTNNB1, CCND1, TP53, KRAS), the framework characterized regulatory architectures (hub regulators vs. heavily regulated genes) that align with known biological roles. For TP53, top-ranked network neighbors included literature-supported interactors (WWTR1, YAP1, CHD4) based on topology, while additional high-ranking candidates (RBPMS, PRRX2, THRA, IKZF2) represent novel hypotheses for experimental validation.</w:t>
      </w:r>
    </w:p>
    <w:p/>
    <w:p>
      <w:r>
        <w:t>Analysis of 99 regulators across 5 genes completed in 15-62 seconds (vs. 2-4 hours manual workflows), representing orders of magnitude speedup. This five-gene demonstration establishes proof-of-concept for recapitulating literature-confirmed patterns and generating testable hypotheses. RegNetAgents transforms labor-intensive analysis into second-scale automated workflows accessible to experimental biologists.</w:t>
      </w:r>
    </w:p>
    <w:p/>
    <w:p>
      <w:r>
        <w:t>Keywords: gene regulatory networks, single-cell RNA-seq, multi-agent systems, workflow orchestration, hypothesis generation, biomarker discovery, therapeutic target identification, network centrality, PageRank, LangGraph, Model Context Protocol</w:t>
      </w:r>
    </w:p>
    <w:p/>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These workflow bottlenecks—manual integration, limited scalability, and accessibility barriers—align precisely with challenges that recent AI advances are well-positioned to address.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p>
      <w:r>
        <w:t>ARACNe Network Inference: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perturbation experiments.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Rationale for Top 10 Regulator/Target Selection:</w:t>
      </w:r>
    </w:p>
    <w:p>
      <w:r>
        <w:t>For pathway enrichment, gene lists are constructed from the query gene plus its top 10 upstream regulators and top 10 downstream targets (ranked by network centrality). This focused approach is critical for balancing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&gt;0 targets but ≤5 regulators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Cout(R) = degout(R)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br w:type="page"/>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exploratory threshold)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p>
      <w:r>
        <w:t>Therapeutic Target Prioritization Limitations:</w:t>
      </w:r>
    </w:p>
    <w:p/>
    <w:p>
      <w:r>
        <w:t>Our therapeutic target prioritization makes several simplifying assumptions that warrant consideration:</w:t>
      </w:r>
    </w:p>
    <w:p/>
    <w:p>
      <w:r>
        <w:t>1. Topology-based ranking: Analysis ranks regulators based on network centrality metrics (PageRank, degree centrality) rather than predicting quantitative gene expression changes. This approach identifies regulators for experimental validation but does not model dynamic regulatory responses or predict expression fold-changes. Cascade overlap (shared downstream targets) is reported as supplementary information but does not contribute to ranking.</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r>
        <w:br w:type="page"/>
      </w:r>
    </w:p>
    <w:p/>
    <w:p>
      <w:pPr>
        <w:pStyle w:val="Heading4"/>
        <w:keepNext/>
      </w:pPr>
      <w:r>
        <w:t>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automatic graceful fallback to deterministic rule-based heuristics if LLM is unavailable, ensuring the framework always produces results regardless of LLM server status. This dual-mode architecture guarantees reliability in production environments while providing enhanced interpretability when LLM resources are available.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 LLM output variability is controlled using temperature=0.3 for all Ollama inference, while network centrality metrics remain fully deterministic, ensuring consistency in quantitative rankings across runs.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Network topology metrics (PageRank, degree centrality)</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(Guaranteed Reliability):</w:t>
      </w:r>
    </w:p>
    <w:p>
      <w:r>
        <w:t>If LLM is unavailable or fails, agents automatically switch to fast deterministic heuristic algorithms that classify genes based on network topology. This fallback mode ensures 100% uptime and consistent results across repeated runs, providing fully deterministic classifications without external dependencies:</w:t>
      </w:r>
    </w:p>
    <w:p/>
    <w:p>
      <w:r>
        <w:t>Cancer Biology Agent: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perturbation impact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(heavilyregulated role = diagnostic, hubregulator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(regulatoryrole, numregulators,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r>
        <w:br w:type="page"/>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nine tools:</w:t>
      </w:r>
    </w:p>
    <w:p/>
    <w:p>
      <w:r>
        <w:t>1. comprehensivegeneanalysis: Full workflow execution (network + regulators + targets + target prioritization + pathways + domains)</w:t>
      </w:r>
    </w:p>
    <w:p>
      <w:r>
        <w:t>2. multigeneanalysis: Parallel processing of multiple genes with comparative analysis</w:t>
      </w:r>
    </w:p>
    <w:p>
      <w:r>
        <w:t>3. pathwayfocusedanalysis: Pathway enrichment for user-specified gene lists</w:t>
      </w:r>
    </w:p>
    <w:p>
      <w:r>
        <w:t>4. crosscellcomparison: Regulatory role comparison across all 10 cell types</w:t>
      </w:r>
    </w:p>
    <w:p>
      <w:r>
        <w:t>5. workflow_status: Real-time execution monitoring</w:t>
      </w:r>
    </w:p>
    <w:p>
      <w:r>
        <w:t>6. workflow_insights: Performance analytics and routing decisions</w:t>
      </w:r>
    </w:p>
    <w:p>
      <w:r>
        <w:t>7. createanalysisreport: Generate formatted analysis summaries</w:t>
      </w:r>
    </w:p>
    <w:p>
      <w:r>
        <w:t>8. loadgeneresults: Load previously saved analysis results</w:t>
      </w:r>
    </w:p>
    <w:p>
      <w:r>
        <w:t>9. listavailableresults: Browse available gene analysis files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 Claude Desktop can additionally access visualization templates via code execution for creating custom plots and comparative analyses.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laptop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end-point effectors: CCND1,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r>
        <w:br w:type="page"/>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laptop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p>
      <w:r>
        <w:t>This acceleration enables exploratory analyses previously impractical due to time constraints. For example, analyzing a 5-gene biomarker panel with therapeutic target prioritization for all regulators (99 total regulators across 5 genes)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 Similarly, TP53 was characterized as: "Mutations in TP53 are associated with various human cancers, indicating that its loss or dysregulation has critical consequences for the network"—consistent with 50-70% mutation rates in CRCs (28,29).</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br w:type="page"/>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Heavily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with PageRank (normalized [0-1]) as the primary ranking metric calculated on entire network to capture global influence (best predictor of drug target success per Mora &amp; Donaldson 2021). Targets and Regulators columns show count of network connections. Top candidate regulator shown for each gene (ranked by PageRank). These rankings serve as hypotheses for experimental validation. Detailed TP53 regulator ranking results presented below (Table 3) as representative example with complete rankings of all 7 regulators including both PageRank and out-degree centrality metrics.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Two genes showed heavily regulated profiles with no downstream regulation: CCND1 (42 regulators) and KRAS (7 regulators), consistent with their roles as end-point effectors in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vs. heavily regulated genes) demonstrates its ability to characterize gene regulatory roles from network topology, providing context for interpretation of each gene's potential biological significance.</w:t>
      </w:r>
    </w:p>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3).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r>
        <w:br w:type="page"/>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(normalized [0-1]), a metric associated with drug target success per Mora &amp; Donaldson (2021). PageRank scores &gt;0.30 suggest high-quality network connections. Out-degree centrality (normalized [0-1]) measures downstream regulatory influence (hub identification). Downstream Targets column shows count of network connections.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exploratory hypotheses (RBPMS, PRRX2, THRA, IKZF2) represent topology-based predictions requiring experimental validation—these should be interpreted as candidate regulators for testing, not confirmed functional interactors.</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is consistent with two biologically plausible mechanisms (requiring experimental validation to confirm):</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is consistent with biological expectations: epithelial tissues experience high oncogenic stress (environmental exposures, high proliferation rates, barrier function) that may necessitate robust TP53 tumor suppressor networks for genomic surveillance and cell fate decisions. In contrast, differentiated immune cells operate under different selective pressures—antigen response, immune homeostasis, and inflammatory regulation—where TP53's canonical tumor suppressor role may be less central to cellular function. The presence of TP53 regulatory activity in erythrocytes (precursor cells undergoing differentiation and DNA damage from oxidative stress) and NKT cells (semi-activated state) is consistent with this interpretation, as these represent intermediate functional states between proliferative and fully differentiated cells.</w:t>
      </w:r>
    </w:p>
    <w:p/>
    <w:p>
      <w:r>
        <w:t>Interpretation caveats: These observations represent biologically plausible hypotheses based on network topology and known cell biology, but definitive mechanistic conclusions would require experimental validation (e.g., single-cell TP53 expression profiling, perturbation experiments in immune cells). Cross-cell-type analysis reveals tissue-specific regulatory patterns that may inform understanding of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activity—though these therapeutic implications remain hypotheses requiring clinical validation.</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(hub regulators vs. heavily regulated genes) align with known biological roles - TP53, MYC, and CTNNB1 as master regulatory hubs in tumor suppression and oncogenic signaling, while CCND1 and KRAS function as end-point effectors.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regulator ranking.</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br w:type="page"/>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r>
        <w:br w:type="page"/>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w:t>
      </w:r>
    </w:p>
    <w:p/>
    <w:p>
      <w:r>
        <w:t>RegNetAgents is designed as a hypothesis generation tool, not a replacement for experimental validation. Several important limitations warrant consideration when interpreting results:</w:t>
      </w:r>
    </w:p>
    <w:p/>
    <w:p>
      <w:r>
        <w:t>Scope of Analyses: All analyses performed by RegNetAgents are hypothesis-generating only and do not predict causal regulatory relationships. Network-based rankings and pathway enrichments identify candidates for experimental validation, not validated therapeutic targets or causal mechanisms.</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 Supplementary Table S2 presents additional validation using 7 cervical cancer-associated genes, demonstrating framework generalizability beyond colorectal cancer.</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Ranking: The framework ranks regulators based on network centrality metrics (PageRank, degree centrality)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p/>
    <w:p>
      <w:pPr>
        <w:pStyle w:val="Heading2"/>
        <w:keepNext/>
      </w:pPr>
      <w:r>
        <w:t>COMPETING INTERESTS</w:t>
      </w:r>
    </w:p>
    <w:p/>
    <w:p>
      <w:r>
        <w:t>The authors declare no competing interests.</w:t>
      </w:r>
    </w:p>
    <w:p/>
    <w:p/>
    <w:p/>
    <w:p>
      <w:r>
        <w:br w:type="page"/>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r>
        <w:t>42. Shao DD, Xue W, Krall EB, et al. KRAS and YAP1 converge to regulate EMT and tumor survival. Cell. 2014;158(1):171-184.</w:t>
      </w:r>
    </w:p>
    <w:p/>
    <w:p/>
    <w:p/>
    <w:p>
      <w:r>
        <w:br w:type="page"/>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3.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br w:type="page"/>
      </w:r>
    </w:p>
    <w:p/>
    <w:p>
      <w: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p>
      <w:r>
        <w:br w:type="page"/>
      </w:r>
    </w:p>
    <w:p/>
    <w:p>
      <w:r>
        <w:t>Example JSON Output: The framework returns structured JSON responses. Example for TP53 analysis (abbreviated):</w:t>
      </w:r>
    </w:p>
    <w:p>
      <w:pPr>
        <w:spacing w:before="0" w:after="0" w:line="240" w:lineRule="auto"/>
        <w:ind w:left="576"/>
      </w:pPr>
      <w:r>
        <w:rPr>
          <w:rFonts w:ascii="Courier New" w:hAnsi="Courier New"/>
          <w:sz w:val="16"/>
        </w:rPr>
        <w:t>{</w:t>
      </w:r>
    </w:p>
    <w:p>
      <w:pPr>
        <w:spacing w:before="0" w:after="0" w:line="240" w:lineRule="auto"/>
        <w:ind w:left="576"/>
      </w:pPr>
      <w:r>
        <w:rPr>
          <w:rFonts w:ascii="Courier New" w:hAnsi="Courier New"/>
          <w:sz w:val="16"/>
        </w:rPr>
        <w:t xml:space="preserve">  "gene_analysis_summary": {</w:t>
      </w:r>
    </w:p>
    <w:p>
      <w:pPr>
        <w:spacing w:before="0" w:after="0" w:line="240" w:lineRule="auto"/>
        <w:ind w:left="576"/>
      </w:pPr>
      <w:r>
        <w:rPr>
          <w:rFonts w:ascii="Courier New" w:hAnsi="Courier New"/>
          <w:sz w:val="16"/>
        </w:rPr>
        <w:t xml:space="preserve">    "gene": "TP53",</w:t>
      </w:r>
    </w:p>
    <w:p>
      <w:pPr>
        <w:spacing w:before="0" w:after="0" w:line="240" w:lineRule="auto"/>
        <w:ind w:left="576"/>
      </w:pPr>
      <w:r>
        <w:rPr>
          <w:rFonts w:ascii="Courier New" w:hAnsi="Courier New"/>
          <w:sz w:val="16"/>
        </w:rPr>
        <w:t xml:space="preserve">    "cell_type": "epithelial_cell",</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"network_analysis": {</w:t>
      </w:r>
    </w:p>
    <w:p>
      <w:pPr>
        <w:spacing w:before="0" w:after="0" w:line="240" w:lineRule="auto"/>
        <w:ind w:left="576"/>
      </w:pPr>
      <w:r>
        <w:rPr>
          <w:rFonts w:ascii="Courier New" w:hAnsi="Courier New"/>
          <w:sz w:val="16"/>
        </w:rPr>
        <w:t xml:space="preserve">    "num_regulators": 7,</w:t>
      </w:r>
    </w:p>
    <w:p>
      <w:pPr>
        <w:spacing w:before="0" w:after="0" w:line="240" w:lineRule="auto"/>
        <w:ind w:left="576"/>
      </w:pPr>
      <w:r>
        <w:rPr>
          <w:rFonts w:ascii="Courier New" w:hAnsi="Courier New"/>
          <w:sz w:val="16"/>
        </w:rPr>
        <w:t xml:space="preserve">    "num_targets": 163,</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"therapeutic_target_prioritization": {</w:t>
      </w:r>
    </w:p>
    <w:p>
      <w:pPr>
        <w:spacing w:before="0" w:after="0" w:line="240" w:lineRule="auto"/>
        <w:ind w:left="576"/>
      </w:pPr>
      <w:r>
        <w:rPr>
          <w:rFonts w:ascii="Courier New" w:hAnsi="Courier New"/>
          <w:sz w:val="16"/>
        </w:rPr>
        <w:t xml:space="preserve">    "perturbation_results":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"regulator": "WWTR1",</w:t>
      </w:r>
    </w:p>
    <w:p>
      <w:pPr>
        <w:spacing w:before="0" w:after="0" w:line="240" w:lineRule="auto"/>
        <w:ind w:left="576"/>
      </w:pPr>
      <w:r>
        <w:rPr>
          <w:rFonts w:ascii="Courier New" w:hAnsi="Courier New"/>
          <w:sz w:val="16"/>
        </w:rPr>
        <w:t xml:space="preserve">        "regulator_downstream_targets": 293,</w:t>
      </w:r>
    </w:p>
    <w:p>
      <w:pPr>
        <w:spacing w:before="0" w:after="0" w:line="240" w:lineRule="auto"/>
        <w:ind w:left="576"/>
      </w:pPr>
      <w:r>
        <w:rPr>
          <w:rFonts w:ascii="Courier New" w:hAnsi="Courier New"/>
          <w:sz w:val="16"/>
        </w:rPr>
        <w:t xml:space="preserve">        "centrality_metrics": {"pagerank": 0.4734}</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"pathway_enrichment": {</w:t>
      </w:r>
    </w:p>
    <w:p>
      <w:pPr>
        <w:spacing w:before="0" w:after="0" w:line="240" w:lineRule="auto"/>
        <w:ind w:left="576"/>
      </w:pPr>
      <w:r>
        <w:rPr>
          <w:rFonts w:ascii="Courier New" w:hAnsi="Courier New"/>
          <w:sz w:val="16"/>
        </w:rPr>
        <w:t xml:space="preserve">    "enriched_pathways":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"pathway_name": "Regulation of TP53 Expression",</w:t>
      </w:r>
    </w:p>
    <w:p>
      <w:pPr>
        <w:spacing w:before="0" w:after="0" w:line="240" w:lineRule="auto"/>
        <w:ind w:left="576"/>
      </w:pPr>
      <w:r>
        <w:rPr>
          <w:rFonts w:ascii="Courier New" w:hAnsi="Courier New"/>
          <w:sz w:val="16"/>
        </w:rPr>
        <w:t xml:space="preserve">        "fdr": 0.0033,</w:t>
      </w:r>
    </w:p>
    <w:p>
      <w:pPr>
        <w:spacing w:before="0" w:after="0" w:line="240" w:lineRule="auto"/>
        <w:ind w:left="576"/>
      </w:pPr>
      <w:r>
        <w:rPr>
          <w:rFonts w:ascii="Courier New" w:hAnsi="Courier New"/>
          <w:sz w:val="16"/>
        </w:rPr>
        <w:t xml:space="preserve">        "genes_found": 2</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