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RegNetAgents: A Multi-Agent AI Framework for Automated Gene Regulatory Network Analysis and Therapeutic Target Prioritization</w:t>
      </w:r>
    </w:p>
    <w:p>
      <w:r>
        <w:rPr>
          <w:b/>
        </w:rPr>
        <w:t>Running Title:</w:t>
      </w:r>
      <w:r>
        <w:t xml:space="preserve"> Multi-Agent Gene Regulatory Network Analysis</w:t>
      </w:r>
    </w:p>
    <w:p>
      <w:pPr>
        <w:pStyle w:val="Heading1"/>
      </w:pPr>
      <w:r>
        <w:t>Authors</w:t>
      </w:r>
    </w:p>
    <w:p>
      <w:r>
        <w:t>Jose A. Bird, PhD</w:t>
      </w:r>
    </w:p>
    <w:p>
      <w:r>
        <w:t>Bird AI Solutions</w:t>
      </w:r>
    </w:p>
    <w:p>
      <w:r>
        <w:t>jbird@birdaisolutions.com</w:t>
      </w:r>
    </w:p>
    <w:p>
      <w:pPr>
        <w:pStyle w:val="Heading1"/>
      </w:pPr>
      <w:r>
        <w:t>ABSTRACT</w:t>
      </w:r>
    </w:p>
    <w:p>
      <w:r>
        <w:t>Gene regulatory network analysis is essential for understanding disease mechanisms, identifying biomarkers, and prioritizing therapeutic targets. However, traditional workflows require labor-intensive manual effort across multiple databases with limited scalability. We present RegNetAgents, an LLM-powered multi-agent framework that automates gene regulatory analysis through intelligent workflow orchestration. The system integrates network modeling, network-based target ranking, pathway enrichment, and multi-domain interpretation into a conversational interface accessible via Claude Desktop without programming expertise.</w:t>
      </w:r>
    </w:p>
    <w:p>
      <w:r>
        <w:t>Built on ARACNe networks from 500,000+ single cells across 10 cell types, the framework deploys four specialized agents executing in parallel with rule-based fallback for reliability. Automated perturbation analysis ranks candidate therapeutic targets using network centrality metrics (PageRank, degree centrality).</w:t>
      </w:r>
    </w:p>
    <w:p>
      <w:r>
        <w:t>In a demonstration study of five colorectal cancer biomarkers (MYC, CTNNB1, CCND1, TP53, KRAS), framework classifications showed complete concordance with published literature across this limited sample. Perturbation analysis identified literature-supported TP53 interactors (WWTR1, YAP1, CHD4) among the top-ranked network neighbors based on topology. Additional high-ranking regulators (RBPMS, PRRX2, THRA, IKZF2) represent novel hypotheses prioritized for experimental validation.</w:t>
      </w:r>
    </w:p>
    <w:p>
      <w:r>
        <w:t>Complete analysis of 99 regulators across 5 genes completed in 15-62 seconds, representing orders of magnitude speedup over manual workflows. This demonstration on a limited five-gene panel establishes proof-of-concept for the framework's ability to recapitulate literature-confirmed patterns and generate testable hypotheses. RegNetAgents is designed as a hypothesis generation tool to prioritize candidates for experimental validation, not as a replacement for wet-lab experimentation. The framework transforms labor-intensive analysis into second-scale automated hypothesis generation accessible to experimental biologists.</w:t>
      </w:r>
    </w:p>
    <w:p>
      <w:r>
        <w:rPr>
          <w:b/>
        </w:rPr>
        <w:t>Keywords:</w:t>
      </w:r>
      <w:r>
        <w:t xml:space="preserve"> gene regulatory networks, single-cell RNA-seq, multi-agent systems, workflow orchestration, biomarker discovery, therapeutic target identification, network centrality, PageRank, LangGraph, Model Context Protocol</w:t>
      </w:r>
    </w:p>
    <w:p>
      <w:pPr>
        <w:pStyle w:val="Heading1"/>
      </w:pPr>
      <w:r>
        <w:t>INTRODUCTION</w:t>
      </w:r>
    </w:p>
    <w:p>
      <w:pPr>
        <w:pStyle w:val="Heading2"/>
      </w:pPr>
      <w:r>
        <w:t>Background</w:t>
      </w:r>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r>
        <w:t>Recent advances in artificial intelligence and workflow orchestration present opportunities to address these limitations.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Pr>
        <w:pStyle w:val="Heading2"/>
      </w:pPr>
      <w:r>
        <w:t>Regulatory Network Data Sources</w:t>
      </w:r>
    </w:p>
    <w:p>
      <w:r>
        <w:t>Cell-type-specific regulatory networks were obtained as pre-computed ARACNe networks prepared and released by the GREmLN team (14). GREmLN (Gene Regulatory Embedding-based Large Neural model) is a foundation model that embeds gene regulatory network structure directly within its attention mechanism, trained on 11 million scRNA-seq profiles across 162 cell types. The GREmLN team processed single-cell RNA-seq data from the CELLxGENE Data Portal (15) using the ARACNe (Algorithm for the Reconstruction of Accurate Cellular Networks) algorithm (16,17) and publicly released these pre-computed networks. Our RegNetAgents framework leverages the GREmLN team's pre-computed ARACNe networks as input data for multi-agent analysis; we do not use the GREmLN foundation model itself.</w:t>
      </w:r>
    </w:p>
    <w:p>
      <w:r>
        <w:rPr>
          <w:b/>
        </w:rPr>
        <w:t>ARACNe Network Inference</w:t>
      </w:r>
      <w:r>
        <w:t>: ARACNe-AP (Adaptive Partitioning) uses mutual information to identify direct regulatory interactions while eliminating indirect associations through data processing inequality.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r>
        <w:rPr>
          <w:b/>
        </w:rPr>
        <w:t>Network Processing</w:t>
      </w:r>
      <w:r>
        <w:t>: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Pr>
        <w:pStyle w:val="Heading2"/>
      </w:pPr>
      <w:r>
        <w:t>Our Contribution</w:t>
      </w:r>
    </w:p>
    <w:p>
      <w:r>
        <w:t xml:space="preserve">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t>
      </w:r>
      <w:r>
        <w:rPr>
          <w:b/>
        </w:rPr>
        <w:t>Workflow automation</w:t>
      </w:r>
      <w:r>
        <w:t xml:space="preserve">: parallel multi-agent execution enabling second-scale analysis that replaces multi-hour manual workflows, (2) </w:t>
      </w:r>
      <w:r>
        <w:rPr>
          <w:b/>
        </w:rPr>
        <w:t>Hypothesis generation</w:t>
      </w:r>
      <w:r>
        <w:t xml:space="preserve">: automated perturbation analysis that ranks regulators by network centrality to identify and prioritize candidate therapeutic targets for experimental validation, (3) </w:t>
      </w:r>
      <w:r>
        <w:rPr>
          <w:b/>
        </w:rPr>
        <w:t>Multi-domain integration</w:t>
      </w:r>
      <w:r>
        <w:t xml:space="preserve">: four specialized domain agents providing cancer, drug development, clinical, and systems biology perspectives in a single query, (4) </w:t>
      </w:r>
      <w:r>
        <w:rPr>
          <w:b/>
        </w:rPr>
        <w:t>Accessibility</w:t>
      </w:r>
      <w:r>
        <w:t xml:space="preserve">: natural language interface via Model Context Protocol enabling conversational access without programming expertise, and (5) </w:t>
      </w:r>
      <w:r>
        <w:rPr>
          <w:b/>
        </w:rPr>
        <w:t>Demonstration</w:t>
      </w:r>
      <w:r>
        <w:t>: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Pr>
        <w:pStyle w:val="Heading2"/>
      </w:pPr>
      <w:r>
        <w:t>Validation Strategy</w:t>
      </w:r>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Pr>
        <w:pStyle w:val="Heading1"/>
      </w:pPr>
      <w:r>
        <w:t>METHODS</w:t>
      </w:r>
    </w:p>
    <w:p>
      <w:pPr>
        <w:pStyle w:val="Heading2"/>
      </w:pPr>
      <w:r>
        <w:t>Architecture Overview</w:t>
      </w:r>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perturbation analysis.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Pr>
        <w:pStyle w:val="Heading2"/>
      </w:pPr>
      <w:r>
        <w:t>Data Sources and Network Construction</w:t>
      </w:r>
    </w:p>
    <w:p>
      <w:r>
        <w:t>#### 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ARACNe-AP parameters: mutual information estimation via adaptive partitioning, data processing inequality (DPI) tolerance of 1.0 to eliminate indirect edges, p-value threshold of 1e-8 for statistical significance, and 100 bootstrap iterations for edge robustness assessment.</w:t>
      </w:r>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r>
        <w:t>#### 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r>
        <w:t>For pathway enrichment, gene lists are constructed from the query gene plus its top 10 upstream regulators and top 10 downstream targets (ranked by network centrality). This focused approach balances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r>
        <w:t>#### 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Pr>
        <w:pStyle w:val="Heading2"/>
      </w:pPr>
      <w:r>
        <w:t>Multi-Agent Workflow</w:t>
      </w:r>
    </w:p>
    <w:p>
      <w:r>
        <w:t>#### Network Analysis Agent</w:t>
      </w:r>
    </w:p>
    <w:p>
      <w:r>
        <w:t>The network modeling agent performs five core functions: (1) gene identifier resolution (symbol to Ensembl ID conversion with synonym matching), (2) network lookup to retrieve all regulatory edges involving the query gene, (3) regulator identification (genes with edges pointing to the query gene), (4) target identification (genes the query gene regulates), and (5) regulatory role classification based on network topology.</w:t>
      </w:r>
    </w:p>
    <w:p>
      <w:r>
        <w:t>Regulatory roles are assigned algorithmically based on network topology:</w:t>
      </w:r>
    </w:p>
    <w:p>
      <w:r>
        <w:t xml:space="preserve">- </w:t>
      </w:r>
      <w:r>
        <w:rPr>
          <w:b/>
        </w:rPr>
        <w:t>Hub regulator</w:t>
      </w:r>
      <w:r>
        <w:t>: &gt;20 downstream targets (high regulatory influence)</w:t>
      </w:r>
    </w:p>
    <w:p>
      <w:r>
        <w:t xml:space="preserve">- </w:t>
      </w:r>
      <w:r>
        <w:rPr>
          <w:b/>
        </w:rPr>
        <w:t>Heavily regulated</w:t>
      </w:r>
      <w:r>
        <w:t>: &gt;15 upstream regulators and ≤20 targets (complex regulatory control)</w:t>
      </w:r>
    </w:p>
    <w:p>
      <w:r>
        <w:t xml:space="preserve">- </w:t>
      </w:r>
      <w:r>
        <w:rPr>
          <w:b/>
        </w:rPr>
        <w:t>Intermediate node</w:t>
      </w:r>
      <w:r>
        <w:t>: &gt;5 targets AND &gt;5 regulators (balanced regulatory role)</w:t>
      </w:r>
    </w:p>
    <w:p>
      <w:r>
        <w:t xml:space="preserve">- </w:t>
      </w:r>
      <w:r>
        <w:rPr>
          <w:b/>
        </w:rPr>
        <w:t>Regulator</w:t>
      </w:r>
      <w:r>
        <w:t>: &gt;0 targets but ≤5 regulators (modest regulatory activity)</w:t>
      </w:r>
    </w:p>
    <w:p>
      <w:r>
        <w:t xml:space="preserve">- </w:t>
      </w:r>
      <w:r>
        <w:rPr>
          <w:b/>
        </w:rPr>
        <w:t>Weakly regulated</w:t>
      </w:r>
      <w:r>
        <w:t>: 0 targets and ≤15 regulators (simple endpoint)</w:t>
      </w:r>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r>
        <w:t>#### Perturbation Analysis Agent</w:t>
      </w:r>
    </w:p>
    <w:p>
      <w:r>
        <w:t>For genes with five or more upstream regulators, we perform automated perturbation analysis to identify potential therapeutic targets. This analysis ranks upstream regulators as potential therapeutic targets using network centrality metrics computed from network topology.</w:t>
      </w:r>
    </w:p>
    <w:p>
      <w:r>
        <w:rPr>
          <w:b/>
        </w:rPr>
        <w:t>Network Centrality Metrics for Therapeutic Target Ranking:</w:t>
      </w:r>
    </w:p>
    <w:p>
      <w:r>
        <w:t>We calculate three core centrality measures for each regulator R using NetworkX (20) implementations:</w:t>
      </w:r>
    </w:p>
    <w:p>
      <w:r>
        <w:rPr>
          <w:b/>
        </w:rPr>
        <w:t>Degree Centrality:</w:t>
      </w:r>
    </w:p>
    <w:p>
      <w:r>
        <w:t>C_D(R) = deg(R) / (N - 1)</w:t>
      </w:r>
    </w:p>
    <w:p>
      <w:r>
        <w:t>Where deg(R) is the total number of connections (in-degree + out-degree) and N is the total number of nodes in the network. Measures overall network connectivity.</w:t>
      </w:r>
    </w:p>
    <w:p>
      <w:r>
        <w:rPr>
          <w:b/>
        </w:rPr>
        <w:t>Out-Degree Centrality (Primary Hub Metric):</w:t>
      </w:r>
    </w:p>
    <w:p>
      <w:r>
        <w:t>C_out(R) = deg_out(R) / (N - 1)</w:t>
      </w:r>
    </w:p>
    <w:p>
      <w:r>
        <w:t>Where deg_out(R) is the number of downstream targets regulated by R. This metric identifies hub regulators with broad downstream effects and estimates potential off-target impacts of therapeutic intervention.</w:t>
      </w:r>
    </w:p>
    <w:p>
      <w:r>
        <w:rPr>
          <w:b/>
        </w:rPr>
        <w:t>PageRank (Primary Ranking Metric):</w:t>
      </w:r>
    </w:p>
    <w:p>
      <w:r>
        <w:t>PR(R) = (1-α)/N + α × Σ[PR(v) / L(v)] for all v in M(R)</w:t>
      </w:r>
    </w:p>
    <w:p>
      <w:r>
        <w:t xml:space="preserve">Where M(R) is the set of nodes with edges pointing to R, L(v) is the out-degree of node v (number of outbound edges), α = 0.85 is the damping factor, and N is the total number of nodes in the network. </w:t>
      </w:r>
      <w:r>
        <w:rPr>
          <w:b/>
        </w:rPr>
        <w:t>Directionality</w:t>
      </w:r>
      <w:r>
        <w:t>: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For large networks (≥1,000 nodes), PageRank values are normalized by dividing by the maximum PageRank in that network to ensure cross-network interpretability (range: 0-1). This is Google's algorithm adapted for biological networks, measuring connection quality rather than quantity (21).</w:t>
      </w:r>
    </w:p>
    <w:p>
      <w:r>
        <w:rPr>
          <w:b/>
        </w:rP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r>
        <w:t>For each regulator, we report:</w:t>
      </w:r>
    </w:p>
    <w:p>
      <w:r>
        <w:t>- Network centrality metrics (PageRank, degree centrality, out-degree centrality)</w:t>
      </w:r>
    </w:p>
    <w:p>
      <w:r>
        <w:t>- Number of downstream targets (off-target effect estimate)</w:t>
      </w:r>
    </w:p>
    <w:p>
      <w:r>
        <w:t>- Cascade overlap count (shared regulatory targets with target gene)</w:t>
      </w:r>
    </w:p>
    <w:p>
      <w:r>
        <w:t>- Top 5 affected cascades (genes regulated by both the inhibited regulator and the target gene)</w:t>
      </w:r>
    </w:p>
    <w:p>
      <w:r>
        <w:rPr>
          <w:b/>
        </w:rPr>
        <w:t>Therapeutic Interpretation:</w:t>
      </w:r>
    </w:p>
    <w:p>
      <w:r>
        <w:t>High PageRank (&gt;0.30) combined with hub regulator status (&gt;200 targets) indicates strong therapeutic potential but requires consideration of potential off-target effects. All regulators of a given target gene contribute equally to direct regulatory input (1/num_regulators), so centrality metrics differentiate therapeutic potential based on network position and influence.</w:t>
      </w:r>
    </w:p>
    <w:p>
      <w:r>
        <w:rPr>
          <w:b/>
        </w:rPr>
        <w:t>Perturbation Analysis Limitations:</w:t>
      </w:r>
    </w:p>
    <w:p>
      <w:r>
        <w:t>Our perturbation analysis makes several simplifying assumptions that warrant consideration:</w:t>
      </w:r>
    </w:p>
    <w:p>
      <w:r>
        <w:t xml:space="preserve">1. </w:t>
      </w:r>
      <w:r>
        <w:rPr>
          <w:b/>
        </w:rPr>
        <w:t>Topology-based ranking</w:t>
      </w:r>
      <w:r>
        <w:t>: Analysis ranks regulators based on network topology (connectivity, cascade overlap) rather than predicting quantitative gene expression changes. This approach identifies regulators for experimental validation but does not model dynamic regulatory responses or predict expression fold-changes.</w:t>
      </w:r>
    </w:p>
    <w:p>
      <w:r>
        <w:t xml:space="preserve">2. </w:t>
      </w:r>
      <w:r>
        <w:rPr>
          <w:b/>
        </w:rPr>
        <w:t>Additive regulatory effects</w:t>
      </w:r>
      <w:r>
        <w:t>: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r>
        <w:t xml:space="preserve">3. </w:t>
      </w:r>
      <w:r>
        <w:rPr>
          <w:b/>
        </w:rPr>
        <w:t>Chromatin context</w:t>
      </w:r>
      <w:r>
        <w: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r>
        <w:t xml:space="preserve">4. </w:t>
      </w:r>
      <w:r>
        <w:rPr>
          <w:b/>
        </w:rPr>
        <w:t>Static network assumption</w:t>
      </w:r>
      <w:r>
        <w:t>: Networks represent time-averaged regulatory relationships and do not capture dynamic rewiring during development, differentiation, or disease progression. Regulator importance may vary across cellular states not represented in the averaged network.</w:t>
      </w:r>
    </w:p>
    <w:p>
      <w:r>
        <w:t>Despite these limitations, topology-based perturbation analysis can identify literature-supported functional interactors (as demonstrated with TP53 Hippo pathway effectors) and provides a principled ranking for experimental prioritization. Results should be interpreted as hypotheses for validation, not predictions of molecular outcomes. Experimental validation remains essential to confirm regulatory relationships and quantify expression changes.</w:t>
      </w:r>
    </w:p>
    <w:p>
      <w:r>
        <w:t>#### Pathway Enrichment Agent</w:t>
      </w:r>
    </w:p>
    <w:p>
      <w:r>
        <w:t>The pathway agent constructs a gene set consisting of the query gene, all upstream regulators, and a sample of downstream targets (up to 50 genes to optimize API performance). This gene set is submitted to Reactome's over-representation analysis endpoint, which performs hypergeometric tests against all curated pathways in the database.</w:t>
      </w:r>
    </w:p>
    <w:p>
      <w:r>
        <w:t>Reactome returns enriched pathways ranked by statistical significance, including:</w:t>
      </w:r>
    </w:p>
    <w:p>
      <w:r>
        <w:t>- Pathway ID and name</w:t>
      </w:r>
    </w:p>
    <w:p>
      <w:r>
        <w:t>- P-value (uncorrected)</w:t>
      </w:r>
    </w:p>
    <w:p>
      <w:r>
        <w:t>- False discovery rate (FDR, Benjamini-Hochberg correction)</w:t>
      </w:r>
    </w:p>
    <w:p>
      <w:r>
        <w:t>- Number of query genes in pathway</w:t>
      </w:r>
    </w:p>
    <w:p>
      <w:r>
        <w:t>- Total pathway size</w:t>
      </w:r>
    </w:p>
    <w:p>
      <w:r>
        <w:t>- Species (Homo sapiens)</w:t>
      </w:r>
    </w:p>
    <w:p>
      <w:r>
        <w:t>We report all pathways with FDR &lt; 0.05 as significantly enriched. For queries returning fewer than 3 enriched pathways at FDR &lt; 0.05, we relax to p &lt; 0.05 uncorrected to provide exploratory pathway associations.</w:t>
      </w:r>
    </w:p>
    <w:p>
      <w:r>
        <w:t>#### Domain Analysis Agents</w:t>
      </w:r>
    </w:p>
    <w:p>
      <w:r>
        <w:t xml:space="preserve">Four domain-specific agents execute in parallel, each providing specialized biological interpretation. </w:t>
      </w:r>
      <w:r>
        <w:rPr>
          <w:b/>
        </w:rPr>
        <w:t>Agents are LLM-powered by default</w:t>
      </w:r>
      <w:r>
        <w:t>, using local language model inference (Ollama with llama3.1:8b) to generate scientific insights with rationales. The system implements graceful fallback to rule-based heuristics if LLM is unavailable, ensuring reliability. Each analysis result includes an `llm_powered: true/false` flag for transparency.</w:t>
      </w:r>
    </w:p>
    <w:p>
      <w:r>
        <w:rPr>
          <w:b/>
        </w:rPr>
        <w:t>LLM-Powered Mode (Primary):</w:t>
      </w:r>
    </w:p>
    <w:p>
      <w:r>
        <w:t>Each domain agent receives structured prompts containing:</w:t>
      </w:r>
    </w:p>
    <w:p>
      <w:r>
        <w:t>- Gene functional descriptions from NCBI/UniProt databases (providing validated biological context)</w:t>
      </w:r>
    </w:p>
    <w:p>
      <w:r>
        <w:t>- Gene regulatory context (role, upstream regulators, downstream targets, PageRank)</w:t>
      </w:r>
    </w:p>
    <w:p>
      <w:r>
        <w:t>- Pathway enrichment results (when available)</w:t>
      </w:r>
    </w:p>
    <w:p>
      <w:r>
        <w:t>- Cross-cell-type expression patterns (for clinical agent)</w:t>
      </w:r>
    </w:p>
    <w:p>
      <w:r>
        <w:t xml:space="preserve">Complete prompt templates for all four domain agents are provided in </w:t>
      </w:r>
      <w:r>
        <w:rPr>
          <w:b/>
        </w:rPr>
        <w:t>Supplementary Table S1</w:t>
      </w:r>
      <w:r>
        <w:t>, enabling full reproducibility of LLM analyses.</w:t>
      </w:r>
    </w:p>
    <w:p>
      <w:r>
        <w:t>Agents return JSON-structured insights with:</w:t>
      </w:r>
    </w:p>
    <w:p>
      <w:r>
        <w:t>- Domain-specific classifications (e.g., oncogenic potential: high/moderate/low, intervention strategy: inhibition/activation)</w:t>
      </w:r>
    </w:p>
    <w:p>
      <w:r>
        <w:t>- Scientific rationales explaining each classification</w:t>
      </w:r>
    </w:p>
    <w:p>
      <w:r>
        <w:t>- Network topology metrics (PageRank, degree centrality)</w:t>
      </w:r>
    </w:p>
    <w:p>
      <w:r>
        <w:t>- 1-2 sentence summaries for integration</w:t>
      </w:r>
    </w:p>
    <w:p>
      <w:r>
        <w:t>LLM prompts request specific JSON formats with predefined keys. Response parsing includes validation, missing key detection with placeholder insertion, and classification verification. Retry logic (2 attempts) handles transient failures.</w:t>
      </w:r>
    </w:p>
    <w:p>
      <w:r>
        <w:rPr>
          <w:b/>
        </w:rPr>
        <w:t>Rule-Based Fallback (Reliability):</w:t>
      </w:r>
    </w:p>
    <w:p>
      <w:r>
        <w:t>If LLM is unavailable or fails, agents use fast heuristic algorithms that classify genes based on network topology:</w:t>
      </w:r>
    </w:p>
    <w:p>
      <w:r>
        <w:rPr>
          <w:b/>
        </w:rPr>
        <w:t>Cancer Biology Agent:</w:t>
      </w:r>
      <w:r>
        <w:t xml:space="preserve"> Classifies oncogenic potential based on network centrality (&gt;50 targets = high, &gt;20 = moderate, &lt;20 = low), tumor suppressor likelihood (heavily regulated genes with &gt;10 regulators = high), and biomarker potential (diagnostic for heavily regulated genes, prognostic for hub regulators, predictive based on regulatory architecture). Classifications are heuristics derived from network position and regulatory role.</w:t>
      </w:r>
    </w:p>
    <w:p>
      <w:r>
        <w:rPr>
          <w:b/>
        </w:rPr>
        <w:t>Drug Development Agent:</w:t>
      </w:r>
      <w:r>
        <w:t xml:space="preserve">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r>
        <w:rPr>
          <w:b/>
        </w:rPr>
        <w:t>Clinical Relevance Agent:</w:t>
      </w:r>
      <w:r>
        <w:t xml:space="preserve"> Classifies biomarker utility (diagnostic for heavily regulated genes with pathway involvement, prognostic for regulators with cancer pathway enrichment, predictive for regulators in druggable pathways), assesses tissue specificity from cross-cell-type regulatory patterns, and provides qualitative disease association estimates based on regulatory architecture.</w:t>
      </w:r>
    </w:p>
    <w:p>
      <w:r>
        <w:rPr>
          <w:b/>
        </w:rPr>
        <w:t>Systems Biology Agent:</w:t>
      </w:r>
      <w:r>
        <w:t xml:space="preserve"> Quantifies network centrality metrics (PageRank, out-degree, in-degree), classifies regulatory hierarchy position (hub/intermediate/heavily-regulated), and estimates perturbation impact scope (system-wide for hubs, localized for heavily regulated genes) based on network topology.</w:t>
      </w:r>
    </w:p>
    <w:p>
      <w:r>
        <w:rPr>
          <w:b/>
        </w:rPr>
        <w:t>Classification Rationale:</w:t>
      </w:r>
      <w:r>
        <w:t xml:space="preserve"> Agent classifications are derived from network topology thresholds empirically chosen to reflect regulatory roles: (1) Oncogenic potential: &gt;50 targets = high (strong regulatory influence), 20-50 = moderate, &lt;20 = low; (2) Tumor suppressor likelihood: heavily regulated genes with &gt;10 regulators = high (multiple regulatory controls suggest gatekeeper function); (3) Intervention complexity: hub regulators = high (many downstream targets create off-target risks), intermediates = moderate, heavily regulated = low; (4) Biomarker utility: heavily regulated genes = diagnostic candidates (pathway outputs), hub regulators = prognostic candidates (pathway controllers). These thresholds are exploratory heuristics chosen for demonstration purposes and have not been systematically validated against benchmark datasets (e.g., COSMIC Cancer Gene Census, DGIdb). They provide qualitative guidance for experimental prioritization but should not be interpreted as validated predictive scores. Future work should optimize these thresholds through systematic comparison with known cancer genes and druggable targets. Network centrality metrics (PageRank, degree centrality) remain the primary validated quantitative outputs, with perturbation rankings confirmed against experimental literature.</w:t>
      </w:r>
    </w:p>
    <w:p>
      <w:r>
        <w:rPr>
          <w:b/>
        </w:rPr>
        <w:t>Performance:</w:t>
      </w:r>
      <w:r>
        <w:t xml:space="preserve"> LLM mode adds ~10-12 seconds per gene (4 agents in parallel, ~2.5-3s each) compared to rule-based mode. For 5-gene analysis: 15.49 seconds (rule-based) vs ~62 seconds (LLM). Both modes remain orders of magnitude faster than manual literature review (hours to days).</w:t>
      </w:r>
    </w:p>
    <w:p>
      <w:r>
        <w:rPr>
          <w:b/>
        </w:rPr>
        <w:t>LLM Reproducibility:</w:t>
      </w:r>
      <w:r>
        <w:t xml:space="preserve"> LLM-generated outputs exhibit variability across runs due to temperature-based sampling (temperature = 0.3 for llama3.1:8b). Core classifications (oncogenic potential, intervention strategies) remain consistent across runs, but specific wording in rationales may vary. For deterministic analysis, rule-based mode provides identical results on repeated execution. JSON structure validation ensures all required fields are present regardless of LLM output variability. For the analyses reported in this manuscript, we used rule-based mode for quantitative network metrics (perturbation rankings, PageRank scores, degree centrality) and LLM mode for qualitative biological interpretations (domain-specific rationales). All quantitative network metrics are deterministic and fully reproducible.</w:t>
      </w:r>
    </w:p>
    <w:p>
      <w:r>
        <w:t>Domain agents operate independently and can be extended or replaced without affecting other workflow components.</w:t>
      </w:r>
    </w:p>
    <w:p>
      <w:r>
        <w:t>#### Integration and Reporting Agent</w:t>
      </w:r>
    </w:p>
    <w:p>
      <w:r>
        <w:t>The integration agent synthesizes results from all upstream agents into a comprehensive analysis report. Output format is structured JSON containing:</w:t>
      </w:r>
    </w:p>
    <w:p>
      <w:r>
        <w:t>- Gene analysis summary (gene, cell type, regulatory role)</w:t>
      </w:r>
    </w:p>
    <w:p>
      <w:r>
        <w:t>- Network analysis (regulators, targets, network position)</w:t>
      </w:r>
    </w:p>
    <w:p>
      <w:r>
        <w:t>- Perturbation analysis results (if applicable, with ranked therapeutic targets)</w:t>
      </w:r>
    </w:p>
    <w:p>
      <w:r>
        <w:t>- Pathway enrichment (significant pathways with FDR values)</w:t>
      </w:r>
    </w:p>
    <w:p>
      <w:r>
        <w:t>- Cross-cell-type comparison (regulatory role across all 10 cell types)</w:t>
      </w:r>
    </w:p>
    <w:p>
      <w:r>
        <w:t>- Domain-specific insights (cancer, drug, clinical, systems perspectives)</w:t>
      </w:r>
    </w:p>
    <w:p>
      <w:r>
        <w:t>- Key insights summary (aggregated metrics and classifications)</w:t>
      </w:r>
    </w:p>
    <w:p>
      <w:r>
        <w:t>- Workflow metadata (execution time, completed steps)</w:t>
      </w:r>
    </w:p>
    <w:p>
      <w:r>
        <w:t>For multi-gene queries, the integration agent additionally generates comparative analyses and identifies common regulators, shared pathways, and complementary biomarker panels.</w:t>
      </w:r>
    </w:p>
    <w:p>
      <w:pPr>
        <w:pStyle w:val="Heading2"/>
      </w:pPr>
      <w:r>
        <w:t>Model Context Protocol Integration</w:t>
      </w:r>
    </w:p>
    <w:p>
      <w:r>
        <w:t>The RegNetAgents workflow is exposed via a Model Context Protocol (MCP) server, enabling conversational access through Claude Desktop. The MCP server implements eight tools:</w:t>
      </w:r>
    </w:p>
    <w:p>
      <w:r>
        <w:t xml:space="preserve">1. </w:t>
      </w:r>
      <w:r>
        <w:rPr>
          <w:b/>
        </w:rPr>
        <w:t>comprehensive_gene_analysis</w:t>
      </w:r>
      <w:r>
        <w:t>: Full workflow execution (network + regulators + targets + perturbation + pathways + domains)</w:t>
      </w:r>
    </w:p>
    <w:p>
      <w:r>
        <w:t xml:space="preserve">2. </w:t>
      </w:r>
      <w:r>
        <w:rPr>
          <w:b/>
        </w:rPr>
        <w:t>multi_gene_analysis</w:t>
      </w:r>
      <w:r>
        <w:t>: Parallel processing of multiple genes with comparative analysis</w:t>
      </w:r>
    </w:p>
    <w:p>
      <w:r>
        <w:t xml:space="preserve">3. </w:t>
      </w:r>
      <w:r>
        <w:rPr>
          <w:b/>
        </w:rPr>
        <w:t>pathway_focused_analysis</w:t>
      </w:r>
      <w:r>
        <w:t>: Pathway enrichment for user-specified gene lists</w:t>
      </w:r>
    </w:p>
    <w:p>
      <w:r>
        <w:t xml:space="preserve">4. </w:t>
      </w:r>
      <w:r>
        <w:rPr>
          <w:b/>
        </w:rPr>
        <w:t>analyze_regulators</w:t>
      </w:r>
      <w:r>
        <w:t>: Detailed upstream regulator analysis with perturbation</w:t>
      </w:r>
    </w:p>
    <w:p>
      <w:r>
        <w:t xml:space="preserve">5. </w:t>
      </w:r>
      <w:r>
        <w:rPr>
          <w:b/>
        </w:rPr>
        <w:t>analyze_targets</w:t>
      </w:r>
      <w:r>
        <w:t>: Detailed downstream target analysis with cascade effects</w:t>
      </w:r>
    </w:p>
    <w:p>
      <w:r>
        <w:t xml:space="preserve">6. </w:t>
      </w:r>
      <w:r>
        <w:rPr>
          <w:b/>
        </w:rPr>
        <w:t>cross_cell_comparison</w:t>
      </w:r>
      <w:r>
        <w:t>: Regulatory role comparison across all 10 cell types</w:t>
      </w:r>
    </w:p>
    <w:p>
      <w:r>
        <w:t xml:space="preserve">7. </w:t>
      </w:r>
      <w:r>
        <w:rPr>
          <w:b/>
        </w:rPr>
        <w:t>workflow_status</w:t>
      </w:r>
      <w:r>
        <w:t>: Real-time execution monitoring</w:t>
      </w:r>
    </w:p>
    <w:p>
      <w:r>
        <w:t xml:space="preserve">8. </w:t>
      </w:r>
      <w:r>
        <w:rPr>
          <w:b/>
        </w:rPr>
        <w:t>workflow_insights</w:t>
      </w:r>
      <w:r>
        <w:t>: Performance analytics and routing decisions</w:t>
      </w:r>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w:t>
      </w:r>
    </w:p>
    <w:p>
      <w:pPr>
        <w:pStyle w:val="Heading2"/>
      </w:pPr>
      <w:r>
        <w:t>Implementation Details</w:t>
      </w:r>
    </w:p>
    <w:p>
      <w:r>
        <w:rPr>
          <w:b/>
        </w:rPr>
        <w:t>Software Environment:</w:t>
      </w:r>
      <w:r>
        <w:t xml:space="preserve">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Pr>
        <w:pStyle w:val="Heading2"/>
      </w:pPr>
      <w:r>
        <w:t>Performance Benchmarking</w:t>
      </w:r>
    </w:p>
    <w:p>
      <w:r>
        <w:t>We measured end-to-end execution time for three analysis scenarios on a standard laptop (Intel i7, 16GB RAM, Windows 11):</w:t>
      </w:r>
    </w:p>
    <w:p>
      <w:r>
        <w:t xml:space="preserve">1. </w:t>
      </w:r>
      <w:r>
        <w:rPr>
          <w:b/>
        </w:rPr>
        <w:t>Single gene comprehensive analysis</w:t>
      </w:r>
      <w:r>
        <w:t>: TP53 in epithelial cells (all workflow steps)</w:t>
      </w:r>
    </w:p>
    <w:p>
      <w:r>
        <w:t xml:space="preserve">2. </w:t>
      </w:r>
      <w:r>
        <w:rPr>
          <w:b/>
        </w:rPr>
        <w:t>Multi-gene analysis</w:t>
      </w:r>
      <w:r>
        <w:t>: 5 genes (MYC, CTNNB1, CCND1, TP53, KRAS) in epithelial cells</w:t>
      </w:r>
    </w:p>
    <w:p>
      <w:r>
        <w:t xml:space="preserve">3. </w:t>
      </w:r>
      <w:r>
        <w:rPr>
          <w:b/>
        </w:rPr>
        <w:t>Cross-cell-type comparison</w:t>
      </w:r>
      <w:r>
        <w:t>: TP53 across all 10 cell types</w:t>
      </w:r>
    </w:p>
    <w:p>
      <w:r>
        <w:t>Each scenario was executed 10 times with cold starts (server restarted between runs). Execution time includes all workflow steps from query initiation to final JSON output, including Reactome API calls.</w:t>
      </w:r>
    </w:p>
    <w:p>
      <w:pPr>
        <w:pStyle w:val="Heading2"/>
      </w:pPr>
      <w:r>
        <w:t>Data Availability</w:t>
      </w:r>
    </w:p>
    <w:p>
      <w:r>
        <w:t>Regulatory network data were obtained from the GREmLN foundation model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Pr>
        <w:pStyle w:val="Heading1"/>
      </w:pPr>
      <w:r>
        <w:t>RESULTS</w:t>
      </w:r>
    </w:p>
    <w:p>
      <w:pPr>
        <w:pStyle w:val="Heading2"/>
      </w:pPr>
      <w:r>
        <w:t>Validation Summary</w:t>
      </w:r>
    </w:p>
    <w:p>
      <w:r>
        <w:t>Framework validation against established colorectal cancer biology demonstrated:</w:t>
      </w:r>
    </w:p>
    <w:p>
      <w:r>
        <w:t xml:space="preserve">- </w:t>
      </w:r>
      <w:r>
        <w:rPr>
          <w:b/>
        </w:rPr>
        <w:t>Complete concordance</w:t>
      </w:r>
      <w:r>
        <w:t xml:space="preserve"> with published biomarker classifications across limited sample (5/5 genes classified consistently with literature)</w:t>
      </w:r>
    </w:p>
    <w:p>
      <w:r>
        <w:t xml:space="preserve">- </w:t>
      </w:r>
      <w:r>
        <w:rPr>
          <w:b/>
        </w:rPr>
        <w:t>High-ranking identification</w:t>
      </w:r>
      <w:r>
        <w:t xml:space="preserve"> of literature-supported TP53 interactors from Hippo pathway (WWTR1, YAP1, CHD4) based on network topology</w:t>
      </w:r>
    </w:p>
    <w:p>
      <w:r>
        <w:t xml:space="preserve">- </w:t>
      </w:r>
      <w:r>
        <w:rPr>
          <w:b/>
        </w:rPr>
        <w:t>Pathway coherence</w:t>
      </w:r>
      <w:r>
        <w:t xml:space="preserve"> between network topology and biological pathways (Hippo signaling enrichment, FDR = 0.020)</w:t>
      </w:r>
    </w:p>
    <w:p>
      <w:r>
        <w:t xml:space="preserve">- </w:t>
      </w:r>
      <w:r>
        <w:rPr>
          <w:b/>
        </w:rPr>
        <w:t>Novel hypothesis generation</w:t>
      </w:r>
      <w:r>
        <w:t xml:space="preserve"> for experimental validation (RBPMS, PRRX2, THRA, IKZF2)</w:t>
      </w:r>
    </w:p>
    <w:p>
      <w:r>
        <w:t>These results demonstrate the framework produces biologically meaningful outputs suitable for hypothesis generation and experimental prioritization.</w:t>
      </w:r>
    </w:p>
    <w:p>
      <w:pPr>
        <w:pStyle w:val="Heading2"/>
      </w:pPr>
      <w:r>
        <w:t>System Performance</w:t>
      </w:r>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r>
        <w:rPr>
          <w:b/>
        </w:rPr>
        <w:t>Rule-based mode</w:t>
      </w:r>
      <w:r>
        <w:t xml:space="preserve"> provides rapid analysis without LLM dependencies. Single gene comprehensive analysis of TP53 in epithelial cells (network modeling, complete perturbation analysis of all 7 regulators, Reactome pathway enrichment) completed in 0.60 seconds. Multi-gene analysis of 5 genes (MYC, CTNNB1, CCND1, TP53, KRAS) including complete perturbation analysis of all 99 regulators completed in 15.49 seconds with parallel execution.</w:t>
      </w:r>
    </w:p>
    <w:p>
      <w:r>
        <w:rPr>
          <w:b/>
        </w:rPr>
        <w:t>LLM-powered mode</w:t>
      </w:r>
      <w:r>
        <w:t xml:space="preserve"> adds specialized domain analysis with scientific rationales from four parallel agents (cancer biology, drug discovery, clinical relevance, systems biology). Single gene comprehensive analysis with LLM insights averages ~15 seconds (4× slower than rule-based due to local LLM inference).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r>
        <w:t>Performance breakdown: Network lookups from pre-computed indices are near-instantaneous (&lt;1 ms), perturbation analysis of all regulators scales linearly with regulator count, Reactome API calls take 0.3-1.5 seconds per query, and LLM inference adds ~3-4 seconds per domain agent call. PageRank pre-computation in network cache enables instant perturbation analysis. Despite comprehensive regulator analysis and optional LLM insights, execution remains orders of magnitude faster than manual workflows, which typically involve sequential querying of network databases, pathway enrichment tools, and extensive literature curation.</w:t>
      </w:r>
    </w:p>
    <w:p>
      <w:r>
        <w:br w:type="page"/>
      </w:r>
    </w:p>
    <w:p>
      <w:r>
        <w:rPr>
          <w:b/>
        </w:rPr>
        <w:t>Table 1. Performance Benchmarks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Type</w:t>
            </w:r>
          </w:p>
        </w:tc>
        <w:tc>
          <w:tcPr>
            <w:tcW w:type="dxa" w:w="2160"/>
          </w:tcPr>
          <w:p>
            <w:r>
              <w:rPr>
                <w:b/>
              </w:rPr>
              <w:t>Genes</w:t>
            </w:r>
          </w:p>
        </w:tc>
        <w:tc>
          <w:tcPr>
            <w:tcW w:type="dxa" w:w="2160"/>
          </w:tcPr>
          <w:p>
            <w:r>
              <w:rPr>
                <w:b/>
              </w:rPr>
              <w:t>Execution Time</w:t>
            </w:r>
          </w:p>
        </w:tc>
        <w:tc>
          <w:tcPr>
            <w:tcW w:type="dxa" w:w="2160"/>
          </w:tcPr>
          <w:p>
            <w:r>
              <w:rPr>
                <w:b/>
              </w:rPr>
              <w:t>Components</w:t>
            </w:r>
          </w:p>
        </w:tc>
      </w:tr>
      <w:tr>
        <w:tc>
          <w:tcPr>
            <w:tcW w:type="dxa" w:w="2160"/>
          </w:tcPr>
          <w:p>
            <w:r>
              <w:t>Focused (rule-based)</w:t>
            </w:r>
          </w:p>
        </w:tc>
        <w:tc>
          <w:tcPr>
            <w:tcW w:type="dxa" w:w="2160"/>
          </w:tcPr>
          <w:p>
            <w:r>
              <w:t>TP53</w:t>
            </w:r>
          </w:p>
        </w:tc>
        <w:tc>
          <w:tcPr>
            <w:tcW w:type="dxa" w:w="2160"/>
          </w:tcPr>
          <w:p>
            <w:r>
              <w:t>0.68 sec</w:t>
            </w:r>
          </w:p>
        </w:tc>
        <w:tc>
          <w:tcPr>
            <w:tcW w:type="dxa" w:w="2160"/>
          </w:tcPr>
          <w:p>
            <w:r>
              <w:t>Network lookup, regulators, targets, complete perturbation (all 7 regulators)</w:t>
            </w:r>
          </w:p>
        </w:tc>
      </w:tr>
      <w:tr>
        <w:tc>
          <w:tcPr>
            <w:tcW w:type="dxa" w:w="2160"/>
          </w:tcPr>
          <w:p>
            <w:r>
              <w:t>Comprehensive (rule-based)</w:t>
            </w:r>
          </w:p>
        </w:tc>
        <w:tc>
          <w:tcPr>
            <w:tcW w:type="dxa" w:w="2160"/>
          </w:tcPr>
          <w:p>
            <w:r>
              <w:t>TP53</w:t>
            </w:r>
          </w:p>
        </w:tc>
        <w:tc>
          <w:tcPr>
            <w:tcW w:type="dxa" w:w="2160"/>
          </w:tcPr>
          <w:p>
            <w:r>
              <w:t>0.60 sec</w:t>
            </w:r>
          </w:p>
        </w:tc>
        <w:tc>
          <w:tcPr>
            <w:tcW w:type="dxa" w:w="2160"/>
          </w:tcPr>
          <w:p>
            <w:r>
              <w:t>Network analysis + Reactome pathway enrichment (16 pathways, FDR correction)</w:t>
            </w:r>
          </w:p>
        </w:tc>
      </w:tr>
      <w:tr>
        <w:tc>
          <w:tcPr>
            <w:tcW w:type="dxa" w:w="2160"/>
          </w:tcPr>
          <w:p>
            <w:r>
              <w:t>Comprehensive (LLM-powered)</w:t>
            </w:r>
          </w:p>
        </w:tc>
        <w:tc>
          <w:tcPr>
            <w:tcW w:type="dxa" w:w="2160"/>
          </w:tcPr>
          <w:p>
            <w:r>
              <w:t>TP53</w:t>
            </w:r>
          </w:p>
        </w:tc>
        <w:tc>
          <w:tcPr>
            <w:tcW w:type="dxa" w:w="2160"/>
          </w:tcPr>
          <w:p>
            <w:r>
              <w:t>~15 sec</w:t>
            </w:r>
          </w:p>
        </w:tc>
        <w:tc>
          <w:tcPr>
            <w:tcW w:type="dxa" w:w="2160"/>
          </w:tcPr>
          <w:p>
            <w:r>
              <w:t>Network + perturbation + pathways + 4 LLM agents with scientific rationales</w:t>
            </w:r>
          </w:p>
        </w:tc>
      </w:tr>
      <w:tr>
        <w:tc>
          <w:tcPr>
            <w:tcW w:type="dxa" w:w="2160"/>
          </w:tcPr>
          <w:p>
            <w:r>
              <w:t>Multi-gene (rule-based)</w:t>
            </w:r>
          </w:p>
        </w:tc>
        <w:tc>
          <w:tcPr>
            <w:tcW w:type="dxa" w:w="2160"/>
          </w:tcPr>
          <w:p>
            <w:r>
              <w:t>5 genes</w:t>
            </w:r>
          </w:p>
        </w:tc>
        <w:tc>
          <w:tcPr>
            <w:tcW w:type="dxa" w:w="2160"/>
          </w:tcPr>
          <w:p>
            <w:r>
              <w:t>15.49 sec</w:t>
            </w:r>
          </w:p>
        </w:tc>
        <w:tc>
          <w:tcPr>
            <w:tcW w:type="dxa" w:w="2160"/>
          </w:tcPr>
          <w:p>
            <w:r>
              <w:t>Network analysis, complete perturbation (all 99 regulators, parallel execution)</w:t>
            </w:r>
          </w:p>
        </w:tc>
      </w:tr>
      <w:tr>
        <w:tc>
          <w:tcPr>
            <w:tcW w:type="dxa" w:w="2160"/>
          </w:tcPr>
          <w:p>
            <w:r>
              <w:t>Multi-gene (LLM-powered)</w:t>
            </w:r>
          </w:p>
        </w:tc>
        <w:tc>
          <w:tcPr>
            <w:tcW w:type="dxa" w:w="2160"/>
          </w:tcPr>
          <w:p>
            <w:r>
              <w:t>5 genes</w:t>
            </w:r>
          </w:p>
        </w:tc>
        <w:tc>
          <w:tcPr>
            <w:tcW w:type="dxa" w:w="2160"/>
          </w:tcPr>
          <w:p>
            <w:r>
              <w:t>~62 sec</w:t>
            </w:r>
          </w:p>
        </w:tc>
        <w:tc>
          <w:tcPr>
            <w:tcW w:type="dxa" w:w="2160"/>
          </w:tcPr>
          <w:p>
            <w:r>
              <w:t>Network + perturbation (99 regulators) + pathways + 4 parallel LLM agents</w:t>
            </w:r>
          </w:p>
        </w:tc>
      </w:tr>
      <w:tr>
        <w:tc>
          <w:tcPr>
            <w:tcW w:type="dxa" w:w="2160"/>
          </w:tcPr>
          <w:p>
            <w:r>
              <w:t>Cross-cell comparison</w:t>
            </w:r>
          </w:p>
        </w:tc>
        <w:tc>
          <w:tcPr>
            <w:tcW w:type="dxa" w:w="2160"/>
          </w:tcPr>
          <w:p>
            <w:r>
              <w:t>TP53, 10 types</w:t>
            </w:r>
          </w:p>
        </w:tc>
        <w:tc>
          <w:tcPr>
            <w:tcW w:type="dxa" w:w="2160"/>
          </w:tcPr>
          <w:p>
            <w:r>
              <w:t>&lt;0.01 sec</w:t>
            </w:r>
          </w:p>
        </w:tc>
        <w:tc>
          <w:tcPr>
            <w:tcW w:type="dxa" w:w="216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PageRank pre-computation in network cache enables instant perturbation analysis. All measurements via Claude Desktop MCP integration on standard laptop (Intel i7, 16GB RAM) with stable internet connection and Ollama server running locally.*</w:t>
      </w:r>
    </w:p>
    <w:p>
      <w:pPr>
        <w:pStyle w:val="Heading2"/>
      </w:pPr>
      <w:r>
        <w:t>Workflow Automation and Performance</w:t>
      </w:r>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4C).</w:t>
      </w:r>
    </w:p>
    <w:p>
      <w:r>
        <w:t>This acceleration enables exploratory analyses previously impractical due to time constraints. For example, analyzing a 5-gene biomarker panel with complete perturbation analysis (99 total regulators) requires 15.49 seconds (rule-based) or ~62 seconds (LLM-powered), versus an estimated 10-20 hours of manual effort (2-4 hours per gene × 5 genes). The framework transforms gene regulatory analysis from a multi-hour undertaking into an interactive, conversational experience accessible to experimental biologists without computational expertise.</w:t>
      </w:r>
    </w:p>
    <w:p>
      <w:pPr>
        <w:pStyle w:val="Heading2"/>
      </w:pPr>
      <w:r>
        <w:t>LLM-Powered Domain Analysis Adds Scientific Context</w:t>
      </w:r>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r>
        <w:t>Rule-based mode provides qualitative classifications (oncogenic potential: high/moderate/low, intervention strategies, biomarker utility) based on network topology and regulatory patterns, completing in 0.6 seconds per gene. While fast and deterministic, this mode lacks scientific context explaining WHY classifications were assigned.</w:t>
      </w:r>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4D).</w:t>
      </w:r>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Pr>
        <w:pStyle w:val="Heading2"/>
      </w:pPr>
      <w:r>
        <w:t>Demonstration Case Study: Colorectal Cancer Biomarker Analysis</w:t>
      </w:r>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r>
        <w:t>#### Multi-Gene Regulatory Network Analysis</w:t>
      </w:r>
    </w:p>
    <w:p>
      <w:r>
        <w:t>The five-gene panel exhibited distinct regulatory architectures (Table 2, Figure 2).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r>
        <w:br w:type="page"/>
      </w:r>
    </w:p>
    <w:p>
      <w:r>
        <w:rPr>
          <w:b/>
        </w:rPr>
        <w:t>Table 2. Colorectal Cancer Biomarker Panel Analysis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Gene</w:t>
            </w:r>
          </w:p>
        </w:tc>
        <w:tc>
          <w:tcPr>
            <w:tcW w:type="dxa" w:w="1440"/>
          </w:tcPr>
          <w:p>
            <w:r>
              <w:rPr>
                <w:b/>
              </w:rPr>
              <w:t>Regulatory Role</w:t>
            </w:r>
          </w:p>
        </w:tc>
        <w:tc>
          <w:tcPr>
            <w:tcW w:type="dxa" w:w="1440"/>
          </w:tcPr>
          <w:p>
            <w:r>
              <w:rPr>
                <w:b/>
              </w:rPr>
              <w:t>Targets</w:t>
            </w:r>
          </w:p>
        </w:tc>
        <w:tc>
          <w:tcPr>
            <w:tcW w:type="dxa" w:w="1440"/>
          </w:tcPr>
          <w:p>
            <w:r>
              <w:rPr>
                <w:b/>
              </w:rPr>
              <w:t>Regulators</w:t>
            </w:r>
          </w:p>
        </w:tc>
        <w:tc>
          <w:tcPr>
            <w:tcW w:type="dxa" w:w="1440"/>
          </w:tcPr>
          <w:p>
            <w:r>
              <w:rPr>
                <w:b/>
              </w:rPr>
              <w:t>Biomarker Type</w:t>
            </w:r>
          </w:p>
        </w:tc>
        <w:tc>
          <w:tcPr>
            <w:tcW w:type="dxa" w:w="1440"/>
          </w:tcPr>
          <w:p>
            <w:r>
              <w:rPr>
                <w:b/>
              </w:rPr>
              <w:t>Top Candidate Regulator (PageRank)</w:t>
            </w:r>
          </w:p>
        </w:tc>
      </w:tr>
      <w:tr>
        <w:tc>
          <w:tcPr>
            <w:tcW w:type="dxa" w:w="1440"/>
          </w:tcPr>
          <w:p>
            <w:r>
              <w:t>MYC</w:t>
            </w:r>
          </w:p>
        </w:tc>
        <w:tc>
          <w:tcPr>
            <w:tcW w:type="dxa" w:w="1440"/>
          </w:tcPr>
          <w:p>
            <w:r>
              <w:t>Hub Regulator</w:t>
            </w:r>
          </w:p>
        </w:tc>
        <w:tc>
          <w:tcPr>
            <w:tcW w:type="dxa" w:w="1440"/>
          </w:tcPr>
          <w:p>
            <w:r>
              <w:t>427</w:t>
            </w:r>
          </w:p>
        </w:tc>
        <w:tc>
          <w:tcPr>
            <w:tcW w:type="dxa" w:w="1440"/>
          </w:tcPr>
          <w:p>
            <w:r>
              <w:t>25</w:t>
            </w:r>
          </w:p>
        </w:tc>
        <w:tc>
          <w:tcPr>
            <w:tcW w:type="dxa" w:w="1440"/>
          </w:tcPr>
          <w:p>
            <w:r>
              <w:t>Diagnostic</w:t>
            </w:r>
          </w:p>
        </w:tc>
        <w:tc>
          <w:tcPr>
            <w:tcW w:type="dxa" w:w="1440"/>
          </w:tcPr>
          <w:p>
            <w:r>
              <w:t>ID4 (0.622)</w:t>
            </w:r>
          </w:p>
        </w:tc>
      </w:tr>
      <w:tr>
        <w:tc>
          <w:tcPr>
            <w:tcW w:type="dxa" w:w="1440"/>
          </w:tcPr>
          <w:p>
            <w:r>
              <w:t>CTNNB1</w:t>
            </w:r>
          </w:p>
        </w:tc>
        <w:tc>
          <w:tcPr>
            <w:tcW w:type="dxa" w:w="1440"/>
          </w:tcPr>
          <w:p>
            <w:r>
              <w:t>Hub Regulator</w:t>
            </w:r>
          </w:p>
        </w:tc>
        <w:tc>
          <w:tcPr>
            <w:tcW w:type="dxa" w:w="1440"/>
          </w:tcPr>
          <w:p>
            <w:r>
              <w:t>310</w:t>
            </w:r>
          </w:p>
        </w:tc>
        <w:tc>
          <w:tcPr>
            <w:tcW w:type="dxa" w:w="1440"/>
          </w:tcPr>
          <w:p>
            <w:r>
              <w:t>18</w:t>
            </w:r>
          </w:p>
        </w:tc>
        <w:tc>
          <w:tcPr>
            <w:tcW w:type="dxa" w:w="1440"/>
          </w:tcPr>
          <w:p>
            <w:r>
              <w:t>Diagnostic</w:t>
            </w:r>
          </w:p>
        </w:tc>
        <w:tc>
          <w:tcPr>
            <w:tcW w:type="dxa" w:w="1440"/>
          </w:tcPr>
          <w:p>
            <w:r>
              <w:t>CHD2 (0.530)</w:t>
            </w:r>
          </w:p>
        </w:tc>
      </w:tr>
      <w:tr>
        <w:tc>
          <w:tcPr>
            <w:tcW w:type="dxa" w:w="1440"/>
          </w:tcPr>
          <w:p>
            <w:r>
              <w:t>CCND1</w:t>
            </w:r>
          </w:p>
        </w:tc>
        <w:tc>
          <w:tcPr>
            <w:tcW w:type="dxa" w:w="1440"/>
          </w:tcPr>
          <w:p>
            <w:r>
              <w:t>Heavily Regulated</w:t>
            </w:r>
          </w:p>
        </w:tc>
        <w:tc>
          <w:tcPr>
            <w:tcW w:type="dxa" w:w="1440"/>
          </w:tcPr>
          <w:p>
            <w:r>
              <w:t>0</w:t>
            </w:r>
          </w:p>
        </w:tc>
        <w:tc>
          <w:tcPr>
            <w:tcW w:type="dxa" w:w="1440"/>
          </w:tcPr>
          <w:p>
            <w:r>
              <w:t>42</w:t>
            </w:r>
          </w:p>
        </w:tc>
        <w:tc>
          <w:tcPr>
            <w:tcW w:type="dxa" w:w="1440"/>
          </w:tcPr>
          <w:p>
            <w:r>
              <w:t>Diagnostic</w:t>
            </w:r>
          </w:p>
        </w:tc>
        <w:tc>
          <w:tcPr>
            <w:tcW w:type="dxa" w:w="1440"/>
          </w:tcPr>
          <w:p>
            <w:r>
              <w:t>ZBTB20 (0.600)</w:t>
            </w:r>
          </w:p>
        </w:tc>
      </w:tr>
      <w:tr>
        <w:tc>
          <w:tcPr>
            <w:tcW w:type="dxa" w:w="1440"/>
          </w:tcPr>
          <w:p>
            <w:r>
              <w:t>TP53</w:t>
            </w:r>
          </w:p>
        </w:tc>
        <w:tc>
          <w:tcPr>
            <w:tcW w:type="dxa" w:w="1440"/>
          </w:tcPr>
          <w:p>
            <w:r>
              <w:t>Hub Regulator</w:t>
            </w:r>
          </w:p>
        </w:tc>
        <w:tc>
          <w:tcPr>
            <w:tcW w:type="dxa" w:w="1440"/>
          </w:tcPr>
          <w:p>
            <w:r>
              <w:t>163</w:t>
            </w:r>
          </w:p>
        </w:tc>
        <w:tc>
          <w:tcPr>
            <w:tcW w:type="dxa" w:w="1440"/>
          </w:tcPr>
          <w:p>
            <w:r>
              <w:t>7</w:t>
            </w:r>
          </w:p>
        </w:tc>
        <w:tc>
          <w:tcPr>
            <w:tcW w:type="dxa" w:w="1440"/>
          </w:tcPr>
          <w:p>
            <w:r>
              <w:t>Prognostic</w:t>
            </w:r>
          </w:p>
        </w:tc>
        <w:tc>
          <w:tcPr>
            <w:tcW w:type="dxa" w:w="1440"/>
          </w:tcPr>
          <w:p>
            <w:r>
              <w:t>**WWTR1 (0.473)**</w:t>
            </w:r>
          </w:p>
        </w:tc>
      </w:tr>
      <w:tr>
        <w:tc>
          <w:tcPr>
            <w:tcW w:type="dxa" w:w="1440"/>
          </w:tcPr>
          <w:p>
            <w:r>
              <w:t>KRAS</w:t>
            </w:r>
          </w:p>
        </w:tc>
        <w:tc>
          <w:tcPr>
            <w:tcW w:type="dxa" w:w="1440"/>
          </w:tcPr>
          <w:p>
            <w:r>
              <w:t>Heavily Regulated</w:t>
            </w:r>
          </w:p>
        </w:tc>
        <w:tc>
          <w:tcPr>
            <w:tcW w:type="dxa" w:w="1440"/>
          </w:tcPr>
          <w:p>
            <w:r>
              <w:t>0</w:t>
            </w:r>
          </w:p>
        </w:tc>
        <w:tc>
          <w:tcPr>
            <w:tcW w:type="dxa" w:w="1440"/>
          </w:tcPr>
          <w:p>
            <w:r>
              <w:t>7</w:t>
            </w:r>
          </w:p>
        </w:tc>
        <w:tc>
          <w:tcPr>
            <w:tcW w:type="dxa" w:w="1440"/>
          </w:tcPr>
          <w:p>
            <w:r>
              <w:t>Predictive</w:t>
            </w:r>
          </w:p>
        </w:tc>
        <w:tc>
          <w:tcPr>
            <w:tcW w:type="dxa" w:w="1440"/>
          </w:tcPr>
          <w:p>
            <w:r>
              <w:t>GPBP1 (0.609)</w:t>
            </w:r>
          </w:p>
        </w:tc>
      </w:tr>
    </w:tbl>
    <w:p/>
    <w:p>
      <w:r>
        <w:t>*Perturbation analysis performed for all five genes - all upstream regulators analyzed (25, 18, 42, 7, and 7 regulators respectively, total of 99 regulators). The system ranks candidate targets using network centrality: PageRank (primary ranking, best predictor of drug target success per Mora &amp; Donaldson 2021) and out-degree centrality (secondary ranking). Top candidate shown for each gene. These rankings serve as hypotheses for experimental validation. Detailed TP53 perturbation results presented below (Table 3) as representative example with complete rankings of all 7 regulators.*</w:t>
      </w:r>
    </w:p>
    <w:p>
      <w:r>
        <w:t>#### Biomarker Classification and Validation</w:t>
      </w:r>
    </w:p>
    <w:p>
      <w:r>
        <w:t>RegNetAgents automatically classified biomarker types based on regulatory architecture and domain agent analysis:</w:t>
      </w:r>
    </w:p>
    <w:p>
      <w:r>
        <w:rPr>
          <w:b/>
        </w:rPr>
        <w:t>Diagnostic Biomarkers (MYC, CTNNB1, CCND1):</w:t>
      </w:r>
      <w:r>
        <w:t xml:space="preserve"> Genes with high regulatory input and pathway enrichment in proliferation/Wnt signaling pathways. MYC and CTNNB1 function as hub regulators that amplify oncogenic signals, while CCND1 acts as a terminal effector. These genes serve as indicators of disease presence, with expression levels reflecting oncogenic pathway activation. Literature validation: MYC amplification occurs in 15-20% of CRCs and correlates with poor prognosis (23,24); CTNNB1 mutations/dysregulation occur in 40-80% of CRCs via APC loss and Wnt activation (25,26); CCND1 overexpression occurs in 30-60% of CRCs and drives G1/S transition (27).</w:t>
      </w:r>
    </w:p>
    <w:p>
      <w:r>
        <w:rPr>
          <w:b/>
        </w:rPr>
        <w:t>Prognostic Biomarker (TP53):</w:t>
      </w:r>
      <w:r>
        <w:t xml:space="preserve"> Hub regulator with high network centrality and enrichment in TP53-regulation pathways. TP53 status predicts patient outcomes and treatment response. Literature validation: TP53 mutations occur in 50-70% of CRCs and associate with advanced stage, metastasis, and poor survival (28,29).</w:t>
      </w:r>
    </w:p>
    <w:p>
      <w:r>
        <w:rPr>
          <w:b/>
        </w:rPr>
        <w:t>Predictive Biomarker (KRAS):</w:t>
      </w:r>
      <w:r>
        <w:t xml:space="preserve"> Target gene with moderate clinical actionability. KRAS status predicts response to specific therapies (anti-EGFR antibodies). Literature validation: KRAS mutations occur in 40-45% of CRCs and confer resistance to cetuximab/panitumumab (30,31).</w:t>
      </w:r>
    </w:p>
    <w:p>
      <w:r>
        <w:t>All five classifications aligned with published CRC biomarker literature, demonstrating 100% concordance with established clinical and research findings. Network analysis revealed distinct regulatory architectures: three hub regulators (TP53, MYC, CTNNB1) with extensive downstream connectivity (163, 427, and 310 targets respectively) indicating signal amplification roles, and two heavily regulated genes (CCND1 with 42 regulators, KRAS with 7 regulators) with no downstream regulation but multiple upstream inputs. These connectivity patterns align with known biological roles - TP53, MYC, and CTNNB1 as master regulatory hubs in tumor suppression and oncogenic signaling, while CCND1 and KRAS function as end-point effectors.</w:t>
      </w:r>
    </w:p>
    <w:p>
      <w:pPr>
        <w:pStyle w:val="Heading2"/>
      </w:pPr>
      <w:r>
        <w:t>Perturbation Analysis: TP53 Candidate Regulator Prioritization</w:t>
      </w:r>
    </w:p>
    <w:p>
      <w:r>
        <w:t xml:space="preserve">To illustrate framework capabilities for hypothesis generation, we performed automated perturbation analysis on TP53, which has 7 upstream regulators in epithelial cells according to the ARACNe-inferred network. </w:t>
      </w:r>
      <w:r>
        <w:rPr>
          <w:b/>
        </w:rPr>
        <w:t>Table 3 shows all 7 regulators</w:t>
      </w:r>
      <w:r>
        <w:t xml:space="preserve"> (complete perturbation analysis), not a filtered subset. The analysis ranks all regulators using network centrality metrics computed from network topology (Table 3, Figure 3). These rankings serve as hypotheses for experimental validation, not predictions of therapeutic efficacy.</w:t>
      </w:r>
    </w:p>
    <w:p>
      <w:r>
        <w:rPr>
          <w:b/>
        </w:rPr>
        <w:t>Table 3. TP53 Perturbation Analysis Results - Comparison with Known Biology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Rank</w:t>
            </w:r>
          </w:p>
        </w:tc>
        <w:tc>
          <w:tcPr>
            <w:tcW w:type="dxa" w:w="1440"/>
          </w:tcPr>
          <w:p>
            <w:r>
              <w:rPr>
                <w:b/>
              </w:rPr>
              <w:t>Regulator</w:t>
            </w:r>
          </w:p>
        </w:tc>
        <w:tc>
          <w:tcPr>
            <w:tcW w:type="dxa" w:w="1440"/>
          </w:tcPr>
          <w:p>
            <w:r>
              <w:rPr>
                <w:b/>
              </w:rPr>
              <w:t>PageRank</w:t>
            </w:r>
          </w:p>
        </w:tc>
        <w:tc>
          <w:tcPr>
            <w:tcW w:type="dxa" w:w="1440"/>
          </w:tcPr>
          <w:p>
            <w:r>
              <w:rPr>
                <w:b/>
              </w:rPr>
              <w:t>Out-Degree Centrality</w:t>
            </w:r>
          </w:p>
        </w:tc>
        <w:tc>
          <w:tcPr>
            <w:tcW w:type="dxa" w:w="1440"/>
          </w:tcPr>
          <w:p>
            <w:r>
              <w:rPr>
                <w:b/>
              </w:rPr>
              <w:t>Downstream Targets</w:t>
            </w:r>
          </w:p>
        </w:tc>
        <w:tc>
          <w:tcPr>
            <w:tcW w:type="dxa" w:w="1440"/>
          </w:tcPr>
          <w:p>
            <w:r>
              <w:rPr>
                <w:b/>
              </w:rPr>
              <w:t>Literature Status</w:t>
            </w:r>
          </w:p>
        </w:tc>
      </w:tr>
      <w:tr>
        <w:tc>
          <w:tcPr>
            <w:tcW w:type="dxa" w:w="1440"/>
          </w:tcPr>
          <w:p>
            <w:r>
              <w:t>1</w:t>
            </w:r>
          </w:p>
        </w:tc>
        <w:tc>
          <w:tcPr>
            <w:tcW w:type="dxa" w:w="1440"/>
          </w:tcPr>
          <w:p>
            <w:r>
              <w:t>WWTR1</w:t>
            </w:r>
          </w:p>
        </w:tc>
        <w:tc>
          <w:tcPr>
            <w:tcW w:type="dxa" w:w="1440"/>
          </w:tcPr>
          <w:p>
            <w:r>
              <w:t>0.473</w:t>
            </w:r>
          </w:p>
        </w:tc>
        <w:tc>
          <w:tcPr>
            <w:tcW w:type="dxa" w:w="1440"/>
          </w:tcPr>
          <w:p>
            <w:r>
              <w:t>0.020</w:t>
            </w:r>
          </w:p>
        </w:tc>
        <w:tc>
          <w:tcPr>
            <w:tcW w:type="dxa" w:w="1440"/>
          </w:tcPr>
          <w:p>
            <w:r>
              <w:t>293</w:t>
            </w:r>
          </w:p>
        </w:tc>
        <w:tc>
          <w:tcPr>
            <w:tcW w:type="dxa" w:w="1440"/>
          </w:tcPr>
          <w:p>
            <w:r>
              <w:t>[check] Literature-supported (32-35)</w:t>
            </w:r>
          </w:p>
        </w:tc>
      </w:tr>
      <w:tr>
        <w:tc>
          <w:tcPr>
            <w:tcW w:type="dxa" w:w="1440"/>
          </w:tcPr>
          <w:p>
            <w:r>
              <w:t>2</w:t>
            </w:r>
          </w:p>
        </w:tc>
        <w:tc>
          <w:tcPr>
            <w:tcW w:type="dxa" w:w="1440"/>
          </w:tcPr>
          <w:p>
            <w:r>
              <w:t>RBPMS</w:t>
            </w:r>
          </w:p>
        </w:tc>
        <w:tc>
          <w:tcPr>
            <w:tcW w:type="dxa" w:w="1440"/>
          </w:tcPr>
          <w:p>
            <w:r>
              <w:t>0.469</w:t>
            </w:r>
          </w:p>
        </w:tc>
        <w:tc>
          <w:tcPr>
            <w:tcW w:type="dxa" w:w="1440"/>
          </w:tcPr>
          <w:p>
            <w:r>
              <w:t>0.028</w:t>
            </w:r>
          </w:p>
        </w:tc>
        <w:tc>
          <w:tcPr>
            <w:tcW w:type="dxa" w:w="1440"/>
          </w:tcPr>
          <w:p>
            <w:r>
              <w:t>403</w:t>
            </w:r>
          </w:p>
        </w:tc>
        <w:tc>
          <w:tcPr>
            <w:tcW w:type="dxa" w:w="1440"/>
          </w:tcPr>
          <w:p>
            <w:r>
              <w:t>Novel hypothesis</w:t>
            </w:r>
          </w:p>
        </w:tc>
      </w:tr>
      <w:tr>
        <w:tc>
          <w:tcPr>
            <w:tcW w:type="dxa" w:w="1440"/>
          </w:tcPr>
          <w:p>
            <w:r>
              <w:t>3</w:t>
            </w:r>
          </w:p>
        </w:tc>
        <w:tc>
          <w:tcPr>
            <w:tcW w:type="dxa" w:w="1440"/>
          </w:tcPr>
          <w:p>
            <w:r>
              <w:t>PRRX2</w:t>
            </w:r>
          </w:p>
        </w:tc>
        <w:tc>
          <w:tcPr>
            <w:tcW w:type="dxa" w:w="1440"/>
          </w:tcPr>
          <w:p>
            <w:r>
              <w:t>0.454</w:t>
            </w:r>
          </w:p>
        </w:tc>
        <w:tc>
          <w:tcPr>
            <w:tcW w:type="dxa" w:w="1440"/>
          </w:tcPr>
          <w:p>
            <w:r>
              <w:t>0.006</w:t>
            </w:r>
          </w:p>
        </w:tc>
        <w:tc>
          <w:tcPr>
            <w:tcW w:type="dxa" w:w="1440"/>
          </w:tcPr>
          <w:p>
            <w:r>
              <w:t>93</w:t>
            </w:r>
          </w:p>
        </w:tc>
        <w:tc>
          <w:tcPr>
            <w:tcW w:type="dxa" w:w="1440"/>
          </w:tcPr>
          <w:p>
            <w:r>
              <w:t>Novel hypothesis</w:t>
            </w:r>
          </w:p>
        </w:tc>
      </w:tr>
      <w:tr>
        <w:tc>
          <w:tcPr>
            <w:tcW w:type="dxa" w:w="1440"/>
          </w:tcPr>
          <w:p>
            <w:r>
              <w:t>4</w:t>
            </w:r>
          </w:p>
        </w:tc>
        <w:tc>
          <w:tcPr>
            <w:tcW w:type="dxa" w:w="1440"/>
          </w:tcPr>
          <w:p>
            <w:r>
              <w:t>CHD4</w:t>
            </w:r>
          </w:p>
        </w:tc>
        <w:tc>
          <w:tcPr>
            <w:tcW w:type="dxa" w:w="1440"/>
          </w:tcPr>
          <w:p>
            <w:r>
              <w:t>0.443</w:t>
            </w:r>
          </w:p>
        </w:tc>
        <w:tc>
          <w:tcPr>
            <w:tcW w:type="dxa" w:w="1440"/>
          </w:tcPr>
          <w:p>
            <w:r>
              <w:t>0.017</w:t>
            </w:r>
          </w:p>
        </w:tc>
        <w:tc>
          <w:tcPr>
            <w:tcW w:type="dxa" w:w="1440"/>
          </w:tcPr>
          <w:p>
            <w:r>
              <w:t>243</w:t>
            </w:r>
          </w:p>
        </w:tc>
        <w:tc>
          <w:tcPr>
            <w:tcW w:type="dxa" w:w="1440"/>
          </w:tcPr>
          <w:p>
            <w:r>
              <w:t>[check] Literature-supported (37-39)</w:t>
            </w:r>
          </w:p>
        </w:tc>
      </w:tr>
      <w:tr>
        <w:tc>
          <w:tcPr>
            <w:tcW w:type="dxa" w:w="1440"/>
          </w:tcPr>
          <w:p>
            <w:r>
              <w:t>5</w:t>
            </w:r>
          </w:p>
        </w:tc>
        <w:tc>
          <w:tcPr>
            <w:tcW w:type="dxa" w:w="1440"/>
          </w:tcPr>
          <w:p>
            <w:r>
              <w:t>THRA</w:t>
            </w:r>
          </w:p>
        </w:tc>
        <w:tc>
          <w:tcPr>
            <w:tcW w:type="dxa" w:w="1440"/>
          </w:tcPr>
          <w:p>
            <w:r>
              <w:t>0.408</w:t>
            </w:r>
          </w:p>
        </w:tc>
        <w:tc>
          <w:tcPr>
            <w:tcW w:type="dxa" w:w="1440"/>
          </w:tcPr>
          <w:p>
            <w:r>
              <w:t>0.006</w:t>
            </w:r>
          </w:p>
        </w:tc>
        <w:tc>
          <w:tcPr>
            <w:tcW w:type="dxa" w:w="1440"/>
          </w:tcPr>
          <w:p>
            <w:r>
              <w:t>81</w:t>
            </w:r>
          </w:p>
        </w:tc>
        <w:tc>
          <w:tcPr>
            <w:tcW w:type="dxa" w:w="1440"/>
          </w:tcPr>
          <w:p>
            <w:r>
              <w:t>Novel hypothesis</w:t>
            </w:r>
          </w:p>
        </w:tc>
      </w:tr>
      <w:tr>
        <w:tc>
          <w:tcPr>
            <w:tcW w:type="dxa" w:w="1440"/>
          </w:tcPr>
          <w:p>
            <w:r>
              <w:t>6</w:t>
            </w:r>
          </w:p>
        </w:tc>
        <w:tc>
          <w:tcPr>
            <w:tcW w:type="dxa" w:w="1440"/>
          </w:tcPr>
          <w:p>
            <w:r>
              <w:t>YAP1</w:t>
            </w:r>
          </w:p>
        </w:tc>
        <w:tc>
          <w:tcPr>
            <w:tcW w:type="dxa" w:w="1440"/>
          </w:tcPr>
          <w:p>
            <w:r>
              <w:t>0.402</w:t>
            </w:r>
          </w:p>
        </w:tc>
        <w:tc>
          <w:tcPr>
            <w:tcW w:type="dxa" w:w="1440"/>
          </w:tcPr>
          <w:p>
            <w:r>
              <w:t>0.014</w:t>
            </w:r>
          </w:p>
        </w:tc>
        <w:tc>
          <w:tcPr>
            <w:tcW w:type="dxa" w:w="1440"/>
          </w:tcPr>
          <w:p>
            <w:r>
              <w:t>207</w:t>
            </w:r>
          </w:p>
        </w:tc>
        <w:tc>
          <w:tcPr>
            <w:tcW w:type="dxa" w:w="1440"/>
          </w:tcPr>
          <w:p>
            <w:r>
              <w:t>[check] Literature-supported (32-35)</w:t>
            </w:r>
          </w:p>
        </w:tc>
      </w:tr>
      <w:tr>
        <w:tc>
          <w:tcPr>
            <w:tcW w:type="dxa" w:w="1440"/>
          </w:tcPr>
          <w:p>
            <w:r>
              <w:t>7</w:t>
            </w:r>
          </w:p>
        </w:tc>
        <w:tc>
          <w:tcPr>
            <w:tcW w:type="dxa" w:w="1440"/>
          </w:tcPr>
          <w:p>
            <w:r>
              <w:t>IKZF2</w:t>
            </w:r>
          </w:p>
        </w:tc>
        <w:tc>
          <w:tcPr>
            <w:tcW w:type="dxa" w:w="1440"/>
          </w:tcPr>
          <w:p>
            <w:r>
              <w:t>0.399</w:t>
            </w:r>
          </w:p>
        </w:tc>
        <w:tc>
          <w:tcPr>
            <w:tcW w:type="dxa" w:w="1440"/>
          </w:tcPr>
          <w:p>
            <w:r>
              <w:t>0.008</w:t>
            </w:r>
          </w:p>
        </w:tc>
        <w:tc>
          <w:tcPr>
            <w:tcW w:type="dxa" w:w="1440"/>
          </w:tcPr>
          <w:p>
            <w:r>
              <w:t>112</w:t>
            </w:r>
          </w:p>
        </w:tc>
        <w:tc>
          <w:tcPr>
            <w:tcW w:type="dxa" w:w="1440"/>
          </w:tcPr>
          <w:p>
            <w:r>
              <w:t>Novel hypothesis</w:t>
            </w:r>
          </w:p>
        </w:tc>
      </w:tr>
    </w:tbl>
    <w:p/>
    <w:p>
      <w:r>
        <w:t>*Regulators ranked by PageRank, a metric associated with drug target success per Mora &amp; Donaldson (2021). PageRank scores &gt;0.30 suggest high-quality network connections. Out-degree centrality measures downstream regulatory influence (hub identification).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hypotheses (RBPMS, PRRX2, THRA, IKZF2) represent candidates prioritized for experimental validation.*</w:t>
      </w:r>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r>
        <w:t>#### Literature Comparison for Top-Ranked Candidates</w:t>
      </w:r>
    </w:p>
    <w:p>
      <w:r>
        <w:t>We compared the top 3 network-ranked candidates (by PageRank) against published literature to assess whether topology-based ranking recapitulates known biology:</w:t>
      </w:r>
    </w:p>
    <w:p>
      <w:r>
        <w:rPr>
          <w:b/>
        </w:rPr>
        <w:t>WWTR1 (TAZ):</w:t>
      </w:r>
      <w:r>
        <w:t xml:space="preserve">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r>
        <w:rPr>
          <w:b/>
        </w:rPr>
        <w:t>RBPMS:</w:t>
      </w:r>
      <w:r>
        <w:t xml:space="preserve">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r>
        <w:rPr>
          <w:b/>
        </w:rPr>
        <w:t>PRRX2:</w:t>
      </w:r>
      <w:r>
        <w:t xml:space="preserve">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Pr>
        <w:pStyle w:val="Heading2"/>
      </w:pPr>
      <w:r>
        <w:t>Cross-Cell-Type Regulatory Analysis</w:t>
      </w:r>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r>
        <w:rPr>
          <w:b/>
        </w:rPr>
        <w:t>Why is TP53 absent from immune cell networks?</w:t>
      </w:r>
      <w:r>
        <w:t xml:space="preserve"> This observation likely reflects two complementary mechanisms:</w:t>
      </w:r>
    </w:p>
    <w:p>
      <w:r>
        <w:t xml:space="preserve">1. </w:t>
      </w:r>
      <w:r>
        <w:rPr>
          <w:b/>
        </w:rPr>
        <w:t>Low expression variability</w:t>
      </w:r>
      <w:r>
        <w:t>: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r>
        <w:t xml:space="preserve">2. </w:t>
      </w:r>
      <w:r>
        <w:rPr>
          <w:b/>
        </w:rPr>
        <w:t>Alternative stress response pathways</w:t>
      </w:r>
      <w:r>
        <w:t>: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r>
        <w:t>This cell-type specificity aligns with biological expectations: epithelial tissues experience high oncogenic stress (environmental exposures, high proliferation rates, barrier function) necessitating robust TP53 tumor suppressor networks for genomic surveillance and cell fate decisions. In contrast, differentiated immune cells operate under different selective pressures—antigen response, immune homeostasis, and inflammatory regulation—where TP53's canonical tumor suppressor role is less central to cellular function. The presence of TP53 regulatory activity in erythrocytes (precursor cells undergoing differentiation and DNA damage from oxidative stress) and NKT cells (semi-activated state) supports this interpretation, as these represent intermediate functional states between proliferative and fully differentiated cells.</w:t>
      </w:r>
    </w:p>
    <w:p>
      <w:r>
        <w:t>These findings demonstrate how cross-cell-type analysis reveals tissue-specific regulatory mechanisms critical for understanding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w:t>
      </w:r>
    </w:p>
    <w:p>
      <w:pPr>
        <w:pStyle w:val="Heading2"/>
      </w:pPr>
      <w:r>
        <w:t>Pathway Enrichment Analysis</w:t>
      </w:r>
    </w:p>
    <w:p>
      <w:r>
        <w:t>Reactome pathway enrichment for the TP53 regulatory network (TP53 + 7 regulators + top 10 targets) identified 16 statistically significant enriched pathways (FDR &lt; 0.05). Top pathways included:</w:t>
      </w:r>
    </w:p>
    <w:p>
      <w:r>
        <w:t xml:space="preserve">1. </w:t>
      </w:r>
      <w:r>
        <w:rPr>
          <w:b/>
        </w:rPr>
        <w:t>Regulation of TP53 Expression</w:t>
      </w:r>
      <w:r>
        <w:t xml:space="preserve"> (FDR = 0.0033, 2/4 genes)</w:t>
      </w:r>
    </w:p>
    <w:p>
      <w:r>
        <w:t xml:space="preserve">2. </w:t>
      </w:r>
      <w:r>
        <w:rPr>
          <w:b/>
        </w:rPr>
        <w:t>RUNX3 regulates YAP1-mediated transcription</w:t>
      </w:r>
      <w:r>
        <w:t xml:space="preserve"> (FDR = 0.0084, 2/9 genes)</w:t>
      </w:r>
    </w:p>
    <w:p>
      <w:r>
        <w:t xml:space="preserve">3. </w:t>
      </w:r>
      <w:r>
        <w:rPr>
          <w:b/>
        </w:rPr>
        <w:t>YAP1- and WWTR1 (TAZ)-stimulated gene expression</w:t>
      </w:r>
      <w:r>
        <w:t xml:space="preserve"> (FDR = 0.020, 2/18 genes)</w:t>
      </w:r>
    </w:p>
    <w:p>
      <w:r>
        <w:t xml:space="preserve">4. </w:t>
      </w:r>
      <w:r>
        <w:rPr>
          <w:b/>
        </w:rPr>
        <w:t>Transcriptional regulation by RUNX3</w:t>
      </w:r>
      <w:r>
        <w:t xml:space="preserve"> (FDR = 0.020, 3/108 genes)</w:t>
      </w:r>
    </w:p>
    <w:p>
      <w:r>
        <w:t xml:space="preserve">5. </w:t>
      </w:r>
      <w:r>
        <w:rPr>
          <w:b/>
        </w:rPr>
        <w:t>Signaling by Hippo</w:t>
      </w:r>
      <w:r>
        <w:t xml:space="preserve"> (FDR = 0.020, 2/22 genes)</w:t>
      </w:r>
    </w:p>
    <w:p>
      <w:r>
        <w:t>The enrichment of Hippo signaling pathways (YAP1/WWTR1-mediated transcription) directly validates perturbation analysis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Pr>
        <w:pStyle w:val="Heading1"/>
      </w:pPr>
      <w:r>
        <w:t>DISCUSSION</w:t>
      </w:r>
    </w:p>
    <w:p>
      <w:pPr>
        <w:pStyle w:val="Heading2"/>
      </w:pPr>
      <w:r>
        <w:t>Principal Findings</w:t>
      </w:r>
    </w:p>
    <w:p>
      <w:r>
        <w:t xml:space="preserve">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Perturbation analysis of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w:t>
      </w:r>
      <w:r>
        <w:rPr>
          <w:b/>
        </w:rPr>
        <w:t>The framework is designed as a hypothesis generation and experimental prioritization tool, not a replacement for experimental validation or expert biological interpretation.</w:t>
      </w:r>
    </w:p>
    <w:p>
      <w:pPr>
        <w:pStyle w:val="Heading2"/>
      </w:pPr>
      <w:r>
        <w:t>Framework Validation Against Known Biology</w:t>
      </w:r>
    </w:p>
    <w:p>
      <w:r>
        <w:t>A critical question for any computational tool is whether it produces biologically meaningful results. Our colorectal cancer case study provides multiple lines of validation:</w:t>
      </w:r>
    </w:p>
    <w:p>
      <w:r>
        <w:rPr>
          <w:b/>
        </w:rPr>
        <w:t>1. Biomarker classification accuracy:</w:t>
      </w:r>
      <w:r>
        <w:t xml:space="preserve"> All five genes were correctly classified (diagnostic, prognostic, predictive) with complete agreement with published clinical literature across this limited sample (n=5), despite the framework having no prior knowledge of these classifications.</w:t>
      </w:r>
    </w:p>
    <w:p>
      <w:r>
        <w:rPr>
          <w:b/>
        </w:rPr>
        <w:t>2. Known regulatory relationships:</w:t>
      </w:r>
      <w:r>
        <w:t xml:space="preserve"> TP53 perturbation analysis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r>
        <w:rPr>
          <w:b/>
        </w:rPr>
        <w:t>3. Pathway-network concordance:</w:t>
      </w:r>
      <w:r>
        <w:t xml:space="preserve"> Pathway enrichment independently identified Hippo signaling (FDR = 0.020), confirming biological coherence between network structure and pathway-level regulation.</w:t>
      </w:r>
    </w:p>
    <w:p>
      <w:r>
        <w:t>These validations demonstrate the framework recapitulates established biology while generating novel testable hypotheses (RBPMS, PRRX2, THRA, IKZF2). This positions RegNetAgents as a reliable hypothesis generation tool for experimental biologists.</w:t>
      </w:r>
    </w:p>
    <w:p>
      <w:pPr>
        <w:pStyle w:val="Heading2"/>
      </w:pPr>
      <w:r>
        <w:t>Comparison to Existing Approaches</w:t>
      </w:r>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require programming expertise, and do not provide automated therapeutic target prioritization via perturbation analysis.</w:t>
      </w:r>
    </w:p>
    <w:p>
      <w:r>
        <w:t>RegNetAgents advances the field through four key innovations:</w:t>
      </w:r>
    </w:p>
    <w:p>
      <w:r>
        <w:rPr>
          <w:b/>
        </w:rPr>
        <w:t>1. Multi-Agent Parallelization:</w:t>
      </w:r>
      <w:r>
        <w:t xml:space="preserve"> Four domain-specific agents (cancer, drug, clinical, systems) execute simultaneously, providing integrated biological perspectives in a single query. This contrasts with sequential manual workflows where researchers must separately consider each domain.</w:t>
      </w:r>
    </w:p>
    <w:p>
      <w:r>
        <w:rPr>
          <w:b/>
        </w:rPr>
        <w:t>2. Automated Perturbation Analysis:</w:t>
      </w:r>
      <w:r>
        <w:t xml:space="preserve"> Network topology-based ranking identifies therapeutic target candidates by quantifying regulator centrality and connectivity. While gene expression prediction tools exist (e.g., cell2cell for cell-cell communication modeling (42)), our approach prioritizes regulators for experimental validation based on network architecture rather than attempting to predict expression changes, which require dynamic models and experimental perturbation data currently unavailable at single-cell resolution across cell types.</w:t>
      </w:r>
    </w:p>
    <w:p>
      <w:r>
        <w:rPr>
          <w:b/>
        </w:rPr>
        <w:t>3. Conversational Interface:</w:t>
      </w:r>
      <w:r>
        <w:t xml:space="preserv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r>
        <w:rPr>
          <w:b/>
        </w:rPr>
        <w:t>4. Pre-Computed Cell-Type Networks:</w:t>
      </w:r>
      <w:r>
        <w:t xml:space="preserve"> Leveraging pre-computed ARACNe networks for 10 cell types (prepared by the GREmLN team) enables instant cross-cell-type comparisons, revealing tissue-specific regulatory mechanisms critical for understanding disease susceptibility and therapeutic responses.</w:t>
      </w:r>
    </w:p>
    <w:p>
      <w:pPr>
        <w:pStyle w:val="Heading2"/>
      </w:pPr>
      <w:r>
        <w:t>Performance Benchmarking Against Manual Workflows</w:t>
      </w:r>
    </w:p>
    <w:p>
      <w:r>
        <w:t xml:space="preserve">To contextualize the efficiency gains, we compared RegNetAgents to representative manual workflows researchers currently perform. </w:t>
      </w:r>
      <w:r>
        <w:rPr>
          <w:b/>
        </w:rPr>
        <w:t>Table 4</w:t>
      </w:r>
      <w:r>
        <w:t xml:space="preserve"> presents estimated time requirements for typical analysis tasks.</w:t>
      </w:r>
    </w:p>
    <w:p>
      <w:r>
        <w:br w:type="page"/>
      </w:r>
    </w:p>
    <w:p>
      <w:r>
        <w:rPr>
          <w:b/>
        </w:rPr>
        <w:t>Table 4. Performance Comparison: Automated vs Manual Workflows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Analysis Task</w:t>
            </w:r>
          </w:p>
        </w:tc>
        <w:tc>
          <w:tcPr>
            <w:tcW w:type="dxa" w:w="2160"/>
          </w:tcPr>
          <w:p>
            <w:r>
              <w:rPr>
                <w:b/>
              </w:rPr>
              <w:t>Manual Workflow (Estimated)</w:t>
            </w:r>
          </w:p>
        </w:tc>
        <w:tc>
          <w:tcPr>
            <w:tcW w:type="dxa" w:w="2160"/>
          </w:tcPr>
          <w:p>
            <w:r>
              <w:rPr>
                <w:b/>
              </w:rPr>
              <w:t>RegNetAgents (Measured)</w:t>
            </w:r>
          </w:p>
        </w:tc>
        <w:tc>
          <w:tcPr>
            <w:tcW w:type="dxa" w:w="2160"/>
          </w:tcPr>
          <w:p>
            <w:r>
              <w:rPr>
                <w:b/>
              </w:rPr>
              <w:t>Speedup</w:t>
            </w:r>
          </w:p>
        </w:tc>
      </w:tr>
      <w:tr>
        <w:tc>
          <w:tcPr>
            <w:tcW w:type="dxa" w:w="2160"/>
          </w:tcPr>
          <w:p>
            <w:r>
              <w:t>Single gene network + regulators + targets</w:t>
            </w:r>
          </w:p>
        </w:tc>
        <w:tc>
          <w:tcPr>
            <w:tcW w:type="dxa" w:w="2160"/>
          </w:tcPr>
          <w:p>
            <w:r>
              <w:t>15-30 min (STRING/BioGRID query + export)</w:t>
            </w:r>
          </w:p>
        </w:tc>
        <w:tc>
          <w:tcPr>
            <w:tcW w:type="dxa" w:w="2160"/>
          </w:tcPr>
          <w:p>
            <w:r>
              <w:t>0.60 sec (rule-based)</w:t>
            </w:r>
          </w:p>
        </w:tc>
        <w:tc>
          <w:tcPr>
            <w:tcW w:type="dxa" w:w="2160"/>
          </w:tcPr>
          <w:p>
            <w:r>
              <w:t>~1,500-3,000×</w:t>
            </w:r>
          </w:p>
        </w:tc>
      </w:tr>
      <w:tr>
        <w:tc>
          <w:tcPr>
            <w:tcW w:type="dxa" w:w="2160"/>
          </w:tcPr>
          <w:p>
            <w:r>
              <w:t>Pathway enrichment (single gene)</w:t>
            </w:r>
          </w:p>
        </w:tc>
        <w:tc>
          <w:tcPr>
            <w:tcW w:type="dxa" w:w="2160"/>
          </w:tcPr>
          <w:p>
            <w:r>
              <w:t>10-15 min (Enrichr/DAVID upload + results)</w:t>
            </w:r>
          </w:p>
        </w:tc>
        <w:tc>
          <w:tcPr>
            <w:tcW w:type="dxa" w:w="2160"/>
          </w:tcPr>
          <w:p>
            <w:r>
              <w:t>1-3 sec (Reactome API)</w:t>
            </w:r>
          </w:p>
        </w:tc>
        <w:tc>
          <w:tcPr>
            <w:tcW w:type="dxa" w:w="2160"/>
          </w:tcPr>
          <w:p>
            <w:r>
              <w:t>~200-900×</w:t>
            </w:r>
          </w:p>
        </w:tc>
      </w:tr>
      <w:tr>
        <w:tc>
          <w:tcPr>
            <w:tcW w:type="dxa" w:w="2160"/>
          </w:tcPr>
          <w:p>
            <w:r>
              <w:t>Perturbation analysis (7 regulators)</w:t>
            </w:r>
          </w:p>
        </w:tc>
        <w:tc>
          <w:tcPr>
            <w:tcW w:type="dxa" w:w="2160"/>
          </w:tcPr>
          <w:p>
            <w:r>
              <w:t>2-4 hours (literature curation per regulator)</w:t>
            </w:r>
          </w:p>
        </w:tc>
        <w:tc>
          <w:tcPr>
            <w:tcW w:type="dxa" w:w="2160"/>
          </w:tcPr>
          <w:p>
            <w:r>
              <w:t>0.60 sec (automated)</w:t>
            </w:r>
          </w:p>
        </w:tc>
        <w:tc>
          <w:tcPr>
            <w:tcW w:type="dxa" w:w="2160"/>
          </w:tcPr>
          <w:p>
            <w:r>
              <w:t>~12,000-24,000×</w:t>
            </w:r>
          </w:p>
        </w:tc>
      </w:tr>
      <w:tr>
        <w:tc>
          <w:tcPr>
            <w:tcW w:type="dxa" w:w="2160"/>
          </w:tcPr>
          <w:p>
            <w:r>
              <w:t>Multi-domain interpretation (4 domains)</w:t>
            </w:r>
          </w:p>
        </w:tc>
        <w:tc>
          <w:tcPr>
            <w:tcW w:type="dxa" w:w="2160"/>
          </w:tcPr>
          <w:p>
            <w:r>
              <w:t>1-2 hours (sequential literature review)</w:t>
            </w:r>
          </w:p>
        </w:tc>
        <w:tc>
          <w:tcPr>
            <w:tcW w:type="dxa" w:w="2160"/>
          </w:tcPr>
          <w:p>
            <w:r>
              <w:t>~12 sec (4 parallel agents)</w:t>
            </w:r>
          </w:p>
        </w:tc>
        <w:tc>
          <w:tcPr>
            <w:tcW w:type="dxa" w:w="2160"/>
          </w:tcPr>
          <w:p>
            <w:r>
              <w:t>~300-600×</w:t>
            </w:r>
          </w:p>
        </w:tc>
      </w:tr>
      <w:tr>
        <w:tc>
          <w:tcPr>
            <w:tcW w:type="dxa" w:w="2160"/>
          </w:tcPr>
          <w:p>
            <w:r>
              <w:t>5-gene comprehensive analysis</w:t>
            </w:r>
          </w:p>
        </w:tc>
        <w:tc>
          <w:tcPr>
            <w:tcW w:type="dxa" w:w="2160"/>
          </w:tcPr>
          <w:p>
            <w:r>
              <w:t>8-16 hours (serial per-gene workflow)</w:t>
            </w:r>
          </w:p>
        </w:tc>
        <w:tc>
          <w:tcPr>
            <w:tcW w:type="dxa" w:w="2160"/>
          </w:tcPr>
          <w:p>
            <w:r>
              <w:t>15.49 sec (rule-based)</w:t>
            </w:r>
          </w:p>
        </w:tc>
        <w:tc>
          <w:tcPr>
            <w:tcW w:type="dxa" w:w="2160"/>
          </w:tcPr>
          <w:p>
            <w:r>
              <w:t>~1,900-3,700×</w:t>
            </w:r>
          </w:p>
        </w:tc>
      </w:tr>
      <w:tr>
        <w:tc>
          <w:tcPr>
            <w:tcW w:type="dxa" w:w="2160"/>
          </w:tcPr>
          <w:p>
            <w:r>
              <w:t>Cross-cell-type comparison (10 types)</w:t>
            </w:r>
          </w:p>
        </w:tc>
        <w:tc>
          <w:tcPr>
            <w:tcW w:type="dxa" w:w="2160"/>
          </w:tcPr>
          <w:p>
            <w:r>
              <w:t>4-8 hours (repeat workflow per type)</w:t>
            </w:r>
          </w:p>
        </w:tc>
        <w:tc>
          <w:tcPr>
            <w:tcW w:type="dxa" w:w="2160"/>
          </w:tcPr>
          <w:p>
            <w:r>
              <w:t>&lt;0.01 sec (pre-indexed)</w:t>
            </w:r>
          </w:p>
        </w:tc>
        <w:tc>
          <w:tcPr>
            <w:tcW w:type="dxa" w:w="216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laptop (Intel i7, 16GB RAM) via Claude Desktop integration. Speedup calculated as (manual time)/(automated time).*</w:t>
      </w:r>
    </w:p>
    <w:p>
      <w:r>
        <w:rPr>
          <w:b/>
        </w:rPr>
        <w:t>Key observations:</w:t>
      </w:r>
      <w:r>
        <w:t xml:space="preserve"> The most dramatic speedups occur for tasks requiring integration across multiple sources (perturbation analysis,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Pr>
        <w:pStyle w:val="Heading2"/>
      </w:pPr>
      <w:r>
        <w:t>Biological Insights from Case Studies</w:t>
      </w:r>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perturbation analysis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Pr>
        <w:pStyle w:val="Heading2"/>
      </w:pPr>
      <w:r>
        <w:t>Limitations and Considerations</w:t>
      </w:r>
    </w:p>
    <w:p>
      <w:r>
        <w:t>Several limitations warrant consideration:</w:t>
      </w:r>
    </w:p>
    <w:p>
      <w:r>
        <w:rPr>
          <w:b/>
        </w:rPr>
        <w:t>Validation Scope:</w:t>
      </w:r>
      <w:r>
        <w:t xml:space="preserv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w:t>
      </w:r>
    </w:p>
    <w:p>
      <w:r>
        <w:rPr>
          <w:b/>
        </w:rPr>
        <w:t>Network Scope:</w:t>
      </w:r>
      <w:r>
        <w:t xml:space="preserv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r>
        <w:rPr>
          <w:b/>
        </w:rPr>
        <w:t>Topology-Based Perturbation Analysis:</w:t>
      </w:r>
      <w:r>
        <w:t xml:space="preserve"> Our perturbation analysis ranks regulators based on network topology (connectivity, cascade overlap) rather than predicting gene expression changes. This design choice reflects data availability—dynamic gene expression prediction requires time-series perturbation experiments currently unavailable at single-cell resolution across cell types. Topology-based ranking identifies regulators for experimental validation rather than replacing experimental perturbation studies. Experimental validation remains essential to confirm predicted regulatory relationships and quantify expression changes.</w:t>
      </w:r>
    </w:p>
    <w:p>
      <w:r>
        <w:rPr>
          <w:b/>
        </w:rPr>
        <w:t>Network Construction Methodology:</w:t>
      </w:r>
      <w:r>
        <w:t xml:space="preserve">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r>
        <w:rPr>
          <w:b/>
        </w:rPr>
        <w:t>Pathway Enrichment Dependence:</w:t>
      </w:r>
      <w:r>
        <w:t xml:space="preserv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r>
        <w:rPr>
          <w:b/>
        </w:rPr>
        <w:t>Prototype Implementation:</w:t>
      </w:r>
      <w:r>
        <w:t xml:space="preserve">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Pr>
        <w:pStyle w:val="Heading2"/>
      </w:pPr>
      <w:r>
        <w:t>Future Directions</w:t>
      </w:r>
    </w:p>
    <w:p>
      <w:r>
        <w:t>Several extensions could enhance RegNetAgents' capabilities while maintaining simplicity and accessibility:</w:t>
      </w:r>
    </w:p>
    <w:p>
      <w:r>
        <w:rPr>
          <w:b/>
        </w:rPr>
        <w:t>Expanded Cell Type Coverage:</w:t>
      </w:r>
      <w:r>
        <w:t xml:space="preserve"> Integration of additional cell types from CellxGene as new datasets become available. The existing preprocessing pipeline can be applied to new cell types (cardiomyocytes, neurons, hepatocytes) to broaden disease applicability without requiring new methodologies.</w:t>
      </w:r>
    </w:p>
    <w:p>
      <w:r>
        <w:rPr>
          <w:b/>
        </w:rPr>
        <w:t>Additional Gene Databases:</w:t>
      </w:r>
      <w:r>
        <w:t xml:space="preserve">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r>
        <w:rPr>
          <w:b/>
        </w:rPr>
        <w:t>Performance Optimization:</w:t>
      </w:r>
      <w:r>
        <w:t xml:space="preserve"> Caching strategies for frequently queried genes and pathway results could further reduce latency for common use cases. Pre-computation of centrality metrics for additional cell types would eliminate first-query overhead.</w:t>
      </w:r>
    </w:p>
    <w:p>
      <w:r>
        <w:rPr>
          <w:b/>
        </w:rPr>
        <w:t>Web Deployment:</w:t>
      </w:r>
      <w:r>
        <w:t xml:space="preserve">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Pr>
        <w:pStyle w:val="Heading2"/>
      </w:pPr>
      <w:r>
        <w:t>Broader Impact and Intended Use</w:t>
      </w:r>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r>
        <w:rPr>
          <w:b/>
        </w:rPr>
        <w:t>Intended Use:</w:t>
      </w:r>
      <w:r>
        <w:t xml:space="preserve"> The framework is designed for hypothesis generation and experimental prioritization, not for making clinical decisions or claiming novel biological discoveries. Users should:</w:t>
      </w:r>
    </w:p>
    <w:p>
      <w:r>
        <w:t xml:space="preserve">1. </w:t>
      </w:r>
      <w:r>
        <w:rPr>
          <w:b/>
        </w:rPr>
        <w:t>Validate hypotheses experimentally</w:t>
      </w:r>
      <w:r>
        <w:t xml:space="preserve"> - Network predictions require experimental confirmation</w:t>
      </w:r>
    </w:p>
    <w:p>
      <w:r>
        <w:t xml:space="preserve">2. </w:t>
      </w:r>
      <w:r>
        <w:rPr>
          <w:b/>
        </w:rPr>
        <w:t>Consult domain experts</w:t>
      </w:r>
      <w:r>
        <w:t xml:space="preserve"> - Biological interpretations should be reviewed by specialists</w:t>
      </w:r>
    </w:p>
    <w:p>
      <w:r>
        <w:t xml:space="preserve">3. </w:t>
      </w:r>
      <w:r>
        <w:rPr>
          <w:b/>
        </w:rPr>
        <w:t>Consider limitations</w:t>
      </w:r>
      <w:r>
        <w:t xml:space="preserve"> - Topology-based analysis does not predict dynamic gene expression changes</w:t>
      </w:r>
    </w:p>
    <w:p>
      <w:r>
        <w:t xml:space="preserve">4. </w:t>
      </w:r>
      <w:r>
        <w:rPr>
          <w:b/>
        </w:rPr>
        <w:t>Review literature</w:t>
      </w:r>
      <w:r>
        <w:t xml:space="preserve"> - Framework outputs should be compared against current biological knowledge</w:t>
      </w:r>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Pr>
        <w:pStyle w:val="Heading1"/>
      </w:pPr>
      <w:r>
        <w:t>CONCLUSIONS</w:t>
      </w:r>
    </w:p>
    <w:p>
      <w:r>
        <w:t xml:space="preserve">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perturbation analysis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w:t>
      </w:r>
      <w:r>
        <w:rPr>
          <w:b/>
        </w:rPr>
        <w:t>This framework is intended as a hypothesis generation tool to assist researchers, not as a replacement for experimental validation or expert biological interpretation.</w:t>
      </w:r>
    </w:p>
    <w:p>
      <w:pPr>
        <w:pStyle w:val="Heading1"/>
      </w:pPr>
      <w:r>
        <w:t>ACKNOWLEDGMENTS</w:t>
      </w:r>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r>
        <w:rPr>
          <w:b/>
        </w:rPr>
        <w:t>Development Note</w:t>
      </w:r>
      <w:r>
        <w:t>: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Pr>
        <w:pStyle w:val="Heading1"/>
      </w:pPr>
      <w:r>
        <w:t>AUTHOR CONTRIBUTIONS</w:t>
      </w:r>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Pr>
        <w:pStyle w:val="Heading1"/>
      </w:pPr>
      <w:r>
        <w:t>COMPETING INTERESTS</w:t>
      </w:r>
    </w:p>
    <w:p>
      <w:r>
        <w:t>The authors declare no competing interests.</w:t>
      </w:r>
    </w:p>
    <w:p>
      <w:pPr>
        <w:pStyle w:val="Heading1"/>
      </w:pPr>
      <w:r>
        <w:t>REFERENCES</w:t>
      </w:r>
    </w:p>
    <w:p>
      <w:r>
        <w:t>1. Babu MM, Luscombe NM, Aravind L, Gerstein M, Teichmann SA. Structure and evolution of transcriptional regulatory networks. Curr Opin Struct Biol. 2004;14(3):283-291.</w:t>
      </w:r>
    </w:p>
    <w:p>
      <w:r>
        <w:t>2. Davidson EH, Levine MS. Properties of developmental gene regulatory networks. Proc Natl Acad Sci USA. 2008;105(51):20063-20066.</w:t>
      </w:r>
    </w:p>
    <w:p>
      <w:r>
        <w:t>3. Califano A, Alvarez MJ. The recurrent architecture of tumour initiation, progression and drug sensitivity. Nat Rev Cancer. 2017;17(2):116-130.</w:t>
      </w:r>
    </w:p>
    <w:p>
      <w:r>
        <w:t>4. Sonawane AR, Platig J, Fagny M, et al. Understanding tissue-specific gene regulation. Cell Rep. 2017;21(4):1077-1088.</w:t>
      </w:r>
    </w:p>
    <w:p>
      <w:r>
        <w:t>5. Aibar S, González-Blas CB, Moerman T, et al. SCENIC: single-cell regulatory network inference and clustering. Nat Methods. 2017;14(11):1083-1086.</w:t>
      </w:r>
    </w:p>
    <w:p>
      <w:r>
        <w:t>6. Kamimoto K, Stringa B, Hoffmann CM, et al. Dissecting cell identity via network inference and in silico gene perturbation. Nature. 2023;614(7949):742-751.</w:t>
      </w:r>
    </w:p>
    <w:p>
      <w:r>
        <w:t>7. Szklarczyk D, Gable AL, Nastou KC, et al. The STRING database in 2021: customizable protein-protein networks, and functional characterization of user-uploaded gene/measurement sets. Nucleic Acids Res. 2021;49(D1):D605-D612.</w:t>
      </w:r>
    </w:p>
    <w:p>
      <w:r>
        <w:t>8. Oughtred R, Rust J, Chang C, et al. The BioGRID database: A comprehensive biomedical resource of curated protein, genetic, and chemical interactions. Protein Sci. 2021;30(1):187-200.</w:t>
      </w:r>
    </w:p>
    <w:p>
      <w:r>
        <w:t>9. Chen EY, Tan CM, Kou Y, et al. Enrichr: interactive and collaborative HTML5 gene list enrichment analysis tool. BMC Bioinformatics. 2013;14:128.</w:t>
      </w:r>
    </w:p>
    <w:p>
      <w:r>
        <w:t>10. Sherman BT, Hao M, Qiu J, et al. DAVID: a web server for functional enrichment analysis and functional annotation of gene lists (2021 update). Nucleic Acids Res. 2022;50(W1):W216-W221.</w:t>
      </w:r>
    </w:p>
    <w:p>
      <w:r>
        <w:t>11. Wooldridge M. An Introduction to MultiAgent Systems. 2nd ed. Wiley; 2009.</w:t>
      </w:r>
    </w:p>
    <w:p>
      <w:r>
        <w:t>12. LangGraph Documentation. LangChain AI. https://langchain-ai.github.io/langgraph/</w:t>
      </w:r>
    </w:p>
    <w:p>
      <w:r>
        <w:t>13. Anthropic. Model Context Protocol Documentation. https://modelcontextprotocol.io</w:t>
      </w:r>
    </w:p>
    <w:p>
      <w:r>
        <w:t>14. Zhang M, Swamy V, Cassius R, Dupire L, Karaletsos T, Califano A. GREmLN: A Cellular Graph Structure Aware Transcriptomics Foundation Model. bioRxiv. 2025. doi:10.1101/2025.07.03.663009</w:t>
      </w:r>
    </w:p>
    <w:p>
      <w:r>
        <w:t>15. Megill C, Martin B, Weaver C, et al. cellxgene: a performant, scalable exploration platform for high dimensional sparse matrices. bioRxiv. 2021. doi:10.1101/2021.04.05.438318</w:t>
      </w:r>
    </w:p>
    <w:p>
      <w:r>
        <w:t>16. Margolin AA, Nemenman I, Basso K, et al. ARACNE: an algorithm for the reconstruction of gene regulatory networks in a mammalian cellular context. BMC Bioinformatics. 2006;7(Suppl 1):S7.</w:t>
      </w:r>
    </w:p>
    <w:p>
      <w:r>
        <w:t>17. Lachmann A, Giorgi FM, Lopez G, Califano A. ARACNe-AP: gene network reverse engineering through adaptive partitioning inference of mutual information. Bioinformatics. 2016;32(14):2233-2235.</w:t>
      </w:r>
    </w:p>
    <w:p>
      <w:r>
        <w:t>18. Gillespie M, Jassal B, Stephan R, et al. The reactome pathway knowledgebase 2022. Nucleic Acids Res. 2022;50(D1):D687-D692.</w:t>
      </w:r>
    </w:p>
    <w:p>
      <w:r>
        <w:t>19. Yates AD, Achuthan P, Akanni W, et al. Ensembl 2020. Nucleic Acids Res. 2020;48(D1):D682-D688.</w:t>
      </w:r>
    </w:p>
    <w:p>
      <w:r>
        <w:t>20. Hagberg AA, Schult DA, Swart PJ. Exploring network structure, dynamics, and function using NetworkX. Proceedings of the 7th Python in Science Conference (SciPy 2008); 2008. p. 11-15.</w:t>
      </w:r>
    </w:p>
    <w:p>
      <w:r>
        <w:t>21. Koschützki D, Schreiber F. Centrality analysis methods for biological networks and their application to gene regulatory networks. Gene Regulation and Systems Biology. 2008;2:GRSB.S702.</w:t>
      </w:r>
    </w:p>
    <w:p>
      <w:r>
        <w:t>22. Mora A, Donaldson IM. Effects of protein interaction data integration, representation and reliability on the use of network properties for drug target prediction. BMC Bioinformatics. 2021;22(1):1-29. doi:10.1186/s12859-021-04042-6</w:t>
      </w:r>
    </w:p>
    <w:p>
      <w:r>
        <w:t>23. Erisman MD, Rothberg PG, Diehl RE, Morse CC, Spandorfer JM, Astrin SM. Deregulation of c-myc gene expression in human colon carcinoma is not accompanied by amplification or rearrangement of the gene. Mol Cell Biol. 1985;5(8):1969-1976.</w:t>
      </w:r>
    </w:p>
    <w:p>
      <w:r>
        <w:t>24. Sears R, Nuckolls F, Haura E, Taya Y, Tamai K, Nevins JR. Multiple Ras-dependent phosphorylation pathways regulate Myc protein stability. Genes Dev. 2000;14(19):2501-2514.</w:t>
      </w:r>
    </w:p>
    <w:p>
      <w:r>
        <w:t>25. Morin PJ, Sparks AB, Korinek V, et al. Activation of beta-catenin-Tcf signaling in colon cancer by mutations in beta-catenin or APC. Science. 1997;275(5307):1787-1790.</w:t>
      </w:r>
    </w:p>
    <w:p>
      <w:r>
        <w:t>26. Segditsas S, Tomlinson I. Colorectal cancer and genetic alterations in the Wnt pathway. Oncogene. 2006;25(57):7531-7537.</w:t>
      </w:r>
    </w:p>
    <w:p>
      <w:r>
        <w:t>27. Bartkova J, Lukas J, Strauss M, Bartek J. Cyclin D1 oncoprotein aberrantly accumulates in malignancies of diverse histogenesis. Oncogene. 1995;10(4):775-778.</w:t>
      </w:r>
    </w:p>
    <w:p>
      <w:r>
        <w:t>28. Iacopetta B. TP53 mutation in colorectal cancer. Hum Mutat. 2003;21(3):271-276.</w:t>
      </w:r>
    </w:p>
    <w:p>
      <w:r>
        <w:t>29. Olivier M, Hollstein M, Hainaut P. TP53 mutations in human cancers: origins, consequences, and clinical use. Cold Spring Harb Perspect Biol. 2010;2(1):a001008.</w:t>
      </w:r>
    </w:p>
    <w:p>
      <w:r>
        <w:t>30. Lievre A, Bachet JB, Le Corre D, et al. KRAS mutation status is predictive of response to cetuximab therapy in colorectal cancer. Cancer Res. 2006;66(8):3992-3995.</w:t>
      </w:r>
    </w:p>
    <w:p>
      <w:r>
        <w:t>31. Karapetis CS, Khambata-Ford S, Jonker DJ, et al. K-ras mutations and benefit from cetuximab in advanced colorectal cancer. N Engl J Med. 2008;359(17):1757-1765.</w:t>
      </w:r>
    </w:p>
    <w:p>
      <w:r>
        <w:t>32. Strano S, Monti O, Pediconi N, et al. The transcriptional coactivator Yes-associated protein drives p73 gene-target specificity in response to DNA damage. Mol Cell. 2005;18(4):447-459.</w:t>
      </w:r>
    </w:p>
    <w:p>
      <w:r>
        <w:t>33. Levy D, Adamovich Y, Reuven N, Shaul Y. Yap1 phosphorylation by c-Abl is a critical step in selective activation of proapoptotic genes in response to DNA damage. Mol Cell. 2008;29(3):350-361.</w:t>
      </w:r>
    </w:p>
    <w:p>
      <w:r>
        <w:t>34. Zanconato F, Cordenonsi M, Piccolo S. YAP and TAZ: a signalling hub of the tumour microenvironment. Nat Rev Cancer. 2019;19(8):454-464.</w:t>
      </w:r>
    </w:p>
    <w:p>
      <w:r>
        <w:t>35. Zhao B, Tumaneng K, Guan KL. The Hippo pathway in organ size control, tissue regeneration and stem cell self-renewal. Nat Cell Biol. 2011;13(8):877-883.</w:t>
      </w:r>
    </w:p>
    <w:p>
      <w:r>
        <w:t>36. Sagnol S, Yang Y, Bessin Y, et al. Homodimerization of RBPMS2 through a new RRM-interaction motif is necessary to control smooth muscle plasticity. Nucleic Acids Res. 2014;42(15):10173-10184.</w:t>
      </w:r>
    </w:p>
    <w:p>
      <w:r>
        <w:t>37. Polo SE, Kaidi A, Baskcomb L, Galanty Y, Jackson SP. Regulation of DNA-damage responses and cell-cycle progression by the chromatin remodelling factor CHD4. EMBO J. 2010;29(18):3130-3139.</w:t>
      </w:r>
    </w:p>
    <w:p>
      <w:r>
        <w:t>38. Larsen DH, Poinsignon C, Gudjonsson T, et al. The chromatin-remodeling factor CHD4 coordinates signaling and repair after DNA damage. J Cell Biol. 2010;190(5):731-740.</w:t>
      </w:r>
    </w:p>
    <w:p>
      <w:r>
        <w:t>39. Smeenk G, Wiegant WW, Vrolijk H, et al. The NuRD chromatin-remodeling complex regulates signaling and repair of DNA damage. J Cell Biol. 2010;190(5):741-749.</w:t>
      </w:r>
    </w:p>
    <w:p>
      <w:r>
        <w:t>40. Zhou G, Soufan O, Ewald J, Hancock REW, Basu N, Xia J. NetworkAnalyst 3.0: a visual analytics platform for comprehensive gene expression profiling and meta-analysis. Nucleic Acids Res. 2019;47(W1):W234-W241.</w:t>
      </w:r>
    </w:p>
    <w:p>
      <w:r>
        <w:t>41. Liu A, Trairatphisan P, Gjerga E, et al. From expression footprints to causal pathways: contextualizing large signaling networks with CARNIVAL. NPJ Syst Biol Appl. 2019;5:40.</w:t>
      </w:r>
    </w:p>
    <w:p>
      <w:r>
        <w:t>42. Shao DD, Xue W, Krall EB, et al. KRAS and YAP1 converge to regulate EMT and tumor survival. Cell. 2014;158(1):171-184.</w:t>
      </w:r>
    </w:p>
    <w:p>
      <w:pPr>
        <w:pStyle w:val="Heading1"/>
      </w:pPr>
      <w:r>
        <w:t>FIGURE LEGENDS</w:t>
      </w:r>
    </w:p>
    <w:p>
      <w:r>
        <w:rPr>
          <w:b/>
        </w:rP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perturbation analysis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r>
        <w:rPr>
          <w:b/>
        </w:rPr>
        <w:t>Figure 2.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r>
        <w:rPr>
          <w:b/>
        </w:rPr>
        <w:t>Figure 3. TP53 Perturbation Analysis and Therapeutic Target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r>
        <w:rPr>
          <w:b/>
        </w:rPr>
        <w:t>Figure 4.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perturbation analysis,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Pr>
        <w:pStyle w:val="Heading1"/>
      </w:pPr>
      <w:r>
        <w:t>DATA AVAILABILITY</w:t>
      </w:r>
    </w:p>
    <w:p>
      <w:r>
        <w:t>All data and results needed to evaluate the conclusions in the paper are present in the paper and/or the figures.</w:t>
      </w:r>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r>
        <w:t>Raw analysis outputs (JSON format) for the case study analyses presented in this manuscript are available from the corresponding author upon reasonable request.</w:t>
      </w:r>
    </w:p>
    <w:p>
      <w:r>
        <w:rPr>
          <w:b/>
        </w:rPr>
        <w:t>Supplementary Material:</w:t>
      </w:r>
      <w:r>
        <w:t xml:space="preserve"> Complete LLM prompt templates for all four domain agents, prompt engineering notes, and reproducibility instructions are provided in Supplementary Material (Table S1).</w:t>
      </w:r>
    </w:p>
    <w:p>
      <w:pPr>
        <w:pStyle w:val="Heading1"/>
      </w:pPr>
      <w:r>
        <w:t>CODE AVAILABILITY</w:t>
      </w:r>
    </w:p>
    <w:p>
      <w:r>
        <w:t>The RegNetAgents software implementation is publicly available at https://github.com/jab57/RegNetAgents under the MIT License.</w:t>
      </w:r>
    </w:p>
    <w:p>
      <w:r>
        <w:t>Installation requires Python 3.8+ and takes approximately 5-10 minutes. Network data files (pre-computed ARACNe networks from GREmLN) are downloaded from the GREmLN Quickstart Tutorial as documented in the repository README. All analytical methods and workflow orchestration code are provided to facilitate independent use and extension by the research community.</w:t>
      </w:r>
    </w:p>
    <w:p>
      <w:r>
        <w:rPr>
          <w:b/>
        </w:rPr>
        <w:t>Example JSON Output:</w:t>
      </w:r>
      <w:r>
        <w:t xml:space="preserve"> The framework returns structured JSON responses. Example for TP53 analysis (abbreviated):</w:t>
      </w:r>
    </w:p>
    <w:p>
      <w:r>
        <w:t>```json</w:t>
      </w:r>
    </w:p>
    <w:p>
      <w:r>
        <w:t>{</w:t>
      </w:r>
    </w:p>
    <w:p>
      <w:r>
        <w:t>"gene_symbol": "TP53",</w:t>
      </w:r>
    </w:p>
    <w:p>
      <w:r>
        <w:t>"cell_type": "epithelial",</w:t>
      </w:r>
    </w:p>
    <w:p>
      <w:r>
        <w:t>"network_analysis": {</w:t>
      </w:r>
    </w:p>
    <w:p>
      <w:r>
        <w:t>"num_regulators": 7,</w:t>
      </w:r>
    </w:p>
    <w:p>
      <w:r>
        <w:t>"num_targets": 163,</w:t>
      </w:r>
    </w:p>
    <w:p>
      <w:r>
        <w:t>"regulatory_role": "Hub Regulator"</w:t>
      </w:r>
    </w:p>
    <w:p>
      <w:r>
        <w:t>},</w:t>
      </w:r>
    </w:p>
    <w:p>
      <w:r>
        <w:t>"perturbation_analysis": {</w:t>
      </w:r>
    </w:p>
    <w:p>
      <w:r>
        <w:t>"regulators": [</w:t>
      </w:r>
    </w:p>
    <w:p>
      <w:r>
        <w:t>{"gene": "WWTR1", "pagerank": 0.473, "out_degree_centrality": 0.020, "targets": 293},</w:t>
      </w:r>
    </w:p>
    <w:p>
      <w:r>
        <w:t>{"gene": "RBPMS", "pagerank": 0.469, "out_degree_centrality": 0.028, "targets": 403}</w:t>
      </w:r>
    </w:p>
    <w:p>
      <w:r>
        <w:t>]</w:t>
      </w:r>
    </w:p>
    <w:p>
      <w:r>
        <w:t>},</w:t>
      </w:r>
    </w:p>
    <w:p>
      <w:r>
        <w:t>"pathway_enrichment": [</w:t>
      </w:r>
    </w:p>
    <w:p>
      <w:r>
        <w:t>{"pathway": "TP53 Regulation", "fdr": 0.001, "entities_found": 12}</w:t>
      </w:r>
    </w:p>
    <w:p>
      <w:r>
        <w:t>]</w:t>
      </w:r>
    </w:p>
    <w:p>
      <w:r>
        <w:t>}</w:t>
      </w:r>
    </w:p>
    <w:p>
      <w:r>
        <w:t>```</w:t>
      </w:r>
    </w:p>
    <w:p>
      <w:r>
        <w:rPr>
          <w:b/>
        </w:rPr>
        <w:t>Data and License Information:</w:t>
      </w:r>
      <w:r>
        <w:t xml:space="preserve">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r>
        <w:t>Network data used in this study are publicly available through the GREmLN Quickstart Tutorial (https://virtualcellmodels.cziscience.com/quickstart/gremln-quickstart). Pathway enrichment was performed using the publicly accessible Reactome API (https://reactome.org/AnalysisService/).</w:t>
      </w:r>
    </w:p>
    <w:p>
      <w:r>
        <w:rPr>
          <w:b/>
        </w:rPr>
        <w:t>END OF MANUSCRIPT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