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genes (MYC, CTNNB1, CCND1, TP53, KRAS), the framework characterized distinct regulatory architectures (hub regulators vs. heavily regulated genes) that align with known biological roles.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 Similarly, TP53 was characterized as: "Mutations in TP53 are associated with various human cancers, indicating that its loss or dysregulation has critical consequences for the network"—consistent with 50-70% mutation rates in CRCs (28,29).</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w:t>
      </w:r>
    </w:p>
    <w:p/>
    <w:p>
      <w:r>
        <w:t>This validation demonstrates LLM mode's ability to synthesize network topology with biological knowledge from gene functional annotations, providing interpretable outputs that explain the 'why' behind network-based classifications. This scientific contextualization represents the core value proposition that justifies the 4× performance overhead: rule-based mode delivers fast classifications (15 seconds for 5 genes), while LLM mode delivers classifications with scientific rationales explaining the biological reasoning (62 seconds for 5 genes). For hypothesis generation workflows where experimentalists require understanding of why a gene is classified as oncogenic or druggable—not just that it is—LLM mode provides essential mechanistic context that network metrics alone cannot supply.</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