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based on regulatory architecture: diagnostic for heavily regulated genes (&gt;15 regulators, end-point effectors that reflect disease state), prognostic for hub regulators (&gt;20 targets, master regulators that predict disease outcome), predictive for other regulatory roles. Assesses tissue specificity from cross-cell-type regulatory patterns and provides qualitative disease association estimates.</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