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automates gene regulatory analysis through conversational interaction via Claude Desktop. The system integrates network modeling, therapeutic target ranking, pathway enrichment, and multi-domain interpretation without requiring programming expertise.</w:t>
      </w:r>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r>
        <w:t>Analysis of 99 regulators across 5 genes completed in 15-62 seconds, representing orders of magnitude speedup over manual workflows. This five-gene demonstration establishes proof-of-concept for recapitulating literature-confirmed patterns and generating testable hypotheses. RegNetAgents serves as a hypothesis generation tool for prioritizing experimental candidates, transforming labor-intensive analysis into second-scale automated workflows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therapeutic target prioritization that ranks regulators by network centrality to identify and prioritize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 xml:space="preserve">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w:t>
      </w:r>
      <w:r>
        <w:rPr>
          <w:b/>
        </w:rPr>
        <w:t>Important caveat:</w:t>
      </w:r>
      <w:r>
        <w:t xml:space="preserve">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 xml:space="preserve">Where M(R) is the set of nodes with edges pointing to R, L(v) is the out-degree of node v (number of outbound edges), α = 0.85 is the damping factor, and N is the total number of nodes in the network. </w:t>
      </w:r>
      <w:r>
        <w:rPr>
          <w:b/>
        </w:rPr>
        <w:t>Directionality</w:t>
      </w:r>
      <w:r>
        <w:t>: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Therapeutic Target Prioritization Limitations:</w:t>
      </w:r>
    </w:p>
    <w:p>
      <w:r>
        <w:t>Our therapeutic target prioritization makes several simplifying assumptions that warrant consideration:</w:t>
      </w:r>
    </w:p>
    <w:p>
      <w:r>
        <w:t xml:space="preserve">1. </w:t>
      </w:r>
      <w:r>
        <w:rPr>
          <w:b/>
        </w:rPr>
        <w:t>Topology-based ranking</w:t>
      </w:r>
      <w:r>
        <w:t>: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prognostic, predictive, or therapeutic) based on regulatory architecture and gene function. Assesses tissue specificity from cross-cell-type regulatory patterns and provides disease association estimates based on network position.</w:t>
      </w:r>
    </w:p>
    <w:p>
      <w:r>
        <w:rPr>
          <w:b/>
        </w:rPr>
        <w:t>Systems Biology Agent:</w:t>
      </w:r>
      <w:r>
        <w:t xml:space="preserve"> Interprets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The framework operates in two modes with different classification logic:</w:t>
      </w:r>
    </w:p>
    <w:p>
      <w:r>
        <w:rPr>
          <w:b/>
        </w:rPr>
        <w:t>Rule-Based Mode</w:t>
      </w:r>
      <w:r>
        <w:t xml:space="preserve"> uses fixed network topology thresholds (applies ONLY to rule-based mode, NOT LLM mode): </w:t>
      </w:r>
      <w:r>
        <w:rPr>
          <w:b/>
        </w:rPr>
        <w:t>Cancer Biology Agent:</w:t>
      </w:r>
      <w:r>
        <w:t xml:space="preserve"> Oncogenic potential (&gt;20 targets = high, &gt;5 = moderate, ≤5 = low), tumor suppressor likelihood (&gt;15 regulators = high, &gt;5 = moderate, ≤5 = low). </w:t>
      </w:r>
      <w:r>
        <w:rPr>
          <w:b/>
        </w:rPr>
        <w:t>Drug Development Agent:</w:t>
      </w:r>
      <w:r>
        <w:t xml:space="preserve"> Intervention strategy (&gt;15 targets = inhibition candidate, &gt;10 regulators = activation candidate), development complexity (&gt;20 targets = high off-target risk, &gt;5 = moderate, ≤5 = low). </w:t>
      </w:r>
      <w:r>
        <w:rPr>
          <w:b/>
        </w:rPr>
        <w:t>Clinical Relevance Agent:</w:t>
      </w:r>
      <w:r>
        <w:t xml:space="preserve">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r>
        <w:rPr>
          <w:b/>
        </w:rPr>
        <w:t>LLM-Powered Mode</w:t>
      </w:r>
      <w:r>
        <w:t xml:space="preserv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r>
        <w:t>Network centrality metrics (PageRank, degree centrality) are computed identically in both modes using deterministic algorithms and remain the primary validated quantitative outputs, with regulator rankings confirmed against experimental literature.</w:t>
      </w:r>
    </w:p>
    <w:p>
      <w:r>
        <w:rPr>
          <w:b/>
        </w:rPr>
        <w:t>Performance:</w:t>
      </w:r>
      <w:r>
        <w:t xml:space="preserve"> LLM mode adds ~10-12 seconds per gene (4 agents in parallel, ~2.5-3s each) compared to rule-based mode. For 5-gene analysis: 15.49 seconds (rule-based) vs ~62 seconds (LLM). Both modes remain orders of magnitude faster than manual literature review (hours to days).</w:t>
      </w:r>
    </w:p>
    <w:p>
      <w:r>
        <w:rPr>
          <w:b/>
        </w:rPr>
        <w:t>LLM Reproducibility:</w:t>
      </w:r>
      <w:r>
        <w:t xml:space="preserve">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Therapeutic target prioritization results (if applicable, with ranked regulators)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nine tools:</w:t>
      </w:r>
    </w:p>
    <w:p>
      <w:r>
        <w:t xml:space="preserve">1. </w:t>
      </w:r>
      <w:r>
        <w:rPr>
          <w:b/>
        </w:rPr>
        <w:t>comprehensive_gene_analysis</w:t>
      </w:r>
      <w:r>
        <w:t>: Full workflow execution (network + regulators + targets + target prioritization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cross_cell_comparison</w:t>
      </w:r>
      <w:r>
        <w:t>: Regulatory role comparison across all 10 cell types</w:t>
      </w:r>
    </w:p>
    <w:p>
      <w:r>
        <w:t xml:space="preserve">5. </w:t>
      </w:r>
      <w:r>
        <w:rPr>
          <w:b/>
        </w:rPr>
        <w:t>workflow_status</w:t>
      </w:r>
      <w:r>
        <w:t>: Real-time execution monitoring</w:t>
      </w:r>
    </w:p>
    <w:p>
      <w:r>
        <w:t xml:space="preserve">6. </w:t>
      </w:r>
      <w:r>
        <w:rPr>
          <w:b/>
        </w:rPr>
        <w:t>workflow_insights</w:t>
      </w:r>
      <w:r>
        <w:t>: Performance analytics and routing decisions</w:t>
      </w:r>
    </w:p>
    <w:p>
      <w:r>
        <w:t xml:space="preserve">7. </w:t>
      </w:r>
      <w:r>
        <w:rPr>
          <w:b/>
        </w:rPr>
        <w:t>create_analysis_report</w:t>
      </w:r>
      <w:r>
        <w:t>: Generate formatted analysis summaries</w:t>
      </w:r>
    </w:p>
    <w:p>
      <w:r>
        <w:t xml:space="preserve">8. </w:t>
      </w:r>
      <w:r>
        <w:rPr>
          <w:b/>
        </w:rPr>
        <w:t>load_gene_results</w:t>
      </w:r>
      <w:r>
        <w:t>: Load previously saved analysis results</w:t>
      </w:r>
    </w:p>
    <w:p>
      <w:r>
        <w:t xml:space="preserve">9. </w:t>
      </w:r>
      <w:r>
        <w:rPr>
          <w:b/>
        </w:rPr>
        <w:t>list_available_results</w:t>
      </w:r>
      <w:r>
        <w:t>: Browse available gene analysis files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Pr>
        <w:pStyle w:val="Heading2"/>
      </w:pPr>
      <w:r>
        <w:t>Implementation Details</w:t>
      </w:r>
    </w:p>
    <w:p>
      <w:r>
        <w:rPr>
          <w:b/>
        </w:rPr>
        <w:t>Software Environment:</w:t>
      </w:r>
      <w:r>
        <w:t xml:space="preserve">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i7-14700F, 64GB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Network architecture alignment</w:t>
      </w:r>
      <w:r>
        <w:t xml:space="preserve"> with known biological roles (hub regulators: TP53, MYC, CTNNB1; end-point effectors: CCND1, KRAS)</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r>
        <w:rPr>
          <w:b/>
        </w:rPr>
        <w:t>LLM-powered mode</w:t>
      </w:r>
      <w:r>
        <w:t xml:space="preserv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are near-instantaneous (&lt;1 ms), Reactome API calls take 0.3-1.5 seconds, and local LLM inference (Ollama/llama3.1:8b) adds overhead for domain agent analysis. PageRank pre-computation enables instant regulator ranking.</w:t>
      </w:r>
    </w:p>
    <w:p>
      <w:r>
        <w:br w:type="page"/>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(rule-based)</w:t>
            </w:r>
          </w:p>
        </w:tc>
        <w:tc>
          <w:tcPr>
            <w:tcW w:type="dxa" w:w="2160"/>
          </w:tcPr>
          <w:p>
            <w:r>
              <w:t>TP53</w:t>
            </w:r>
          </w:p>
        </w:tc>
        <w:tc>
          <w:tcPr>
            <w:tcW w:type="dxa" w:w="2160"/>
          </w:tcPr>
          <w:p>
            <w:r>
              <w:t>0.68 sec</w:t>
            </w:r>
          </w:p>
        </w:tc>
        <w:tc>
          <w:tcPr>
            <w:tcW w:type="dxa" w:w="2160"/>
          </w:tcPr>
          <w:p>
            <w:r>
              <w:t>Network lookup, regulators, targets, complete regulator ranking (all 7 upstream regulators)</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regulator ranking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regulator ranking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regulator ranking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r>
        <w:t>#### LLM-Generated Rationale Validation</w:t>
      </w:r>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r>
        <w:rPr>
          <w:b/>
        </w:rPr>
        <w:t>Oncogenic/tumor suppressor classifications:</w:t>
      </w:r>
      <w:r>
        <w:t xml:space="preserve">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r>
        <w:rPr>
          <w:b/>
        </w:rPr>
        <w:t>Therapeutic and druggability rationales:</w:t>
      </w:r>
      <w:r>
        <w:t xml:space="preserve">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r>
        <w:rPr>
          <w:b/>
        </w:rPr>
        <w:t>Mechanistic explanations:</w:t>
      </w:r>
      <w:r>
        <w:t xml:space="preserve">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rPr>
          <w:b/>
        </w:rPr>
        <w:t>Table 2. Colorectal Cancer Biomarker Panel Analysis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Gene</w:t>
            </w:r>
          </w:p>
        </w:tc>
        <w:tc>
          <w:tcPr>
            <w:tcW w:type="dxa" w:w="1728"/>
          </w:tcPr>
          <w:p>
            <w:r>
              <w:rPr>
                <w:b/>
              </w:rPr>
              <w:t>Regulatory Role</w:t>
            </w:r>
          </w:p>
        </w:tc>
        <w:tc>
          <w:tcPr>
            <w:tcW w:type="dxa" w:w="1728"/>
          </w:tcPr>
          <w:p>
            <w:r>
              <w:rPr>
                <w:b/>
              </w:rPr>
              <w:t>Targets</w:t>
            </w:r>
          </w:p>
        </w:tc>
        <w:tc>
          <w:tcPr>
            <w:tcW w:type="dxa" w:w="1728"/>
          </w:tcPr>
          <w:p>
            <w:r>
              <w:rPr>
                <w:b/>
              </w:rPr>
              <w:t>Regulators</w:t>
            </w:r>
          </w:p>
        </w:tc>
        <w:tc>
          <w:tcPr>
            <w:tcW w:type="dxa" w:w="1728"/>
          </w:tcPr>
          <w:p>
            <w:r>
              <w:rPr>
                <w:b/>
              </w:rPr>
              <w:t>Top Candidate Regulator (PageRank)</w:t>
            </w:r>
          </w:p>
        </w:tc>
      </w:tr>
      <w:tr>
        <w:tc>
          <w:tcPr>
            <w:tcW w:type="dxa" w:w="1728"/>
          </w:tcPr>
          <w:p>
            <w:r>
              <w:t>MYC</w:t>
            </w:r>
          </w:p>
        </w:tc>
        <w:tc>
          <w:tcPr>
            <w:tcW w:type="dxa" w:w="1728"/>
          </w:tcPr>
          <w:p>
            <w:r>
              <w:t>Hub Regulator</w:t>
            </w:r>
          </w:p>
        </w:tc>
        <w:tc>
          <w:tcPr>
            <w:tcW w:type="dxa" w:w="1728"/>
          </w:tcPr>
          <w:p>
            <w:r>
              <w:t>427</w:t>
            </w:r>
          </w:p>
        </w:tc>
        <w:tc>
          <w:tcPr>
            <w:tcW w:type="dxa" w:w="1728"/>
          </w:tcPr>
          <w:p>
            <w:r>
              <w:t>25</w:t>
            </w:r>
          </w:p>
        </w:tc>
        <w:tc>
          <w:tcPr>
            <w:tcW w:type="dxa" w:w="1728"/>
          </w:tcPr>
          <w:p>
            <w:r>
              <w:t>ID4 (0.622)</w:t>
            </w:r>
          </w:p>
        </w:tc>
      </w:tr>
      <w:tr>
        <w:tc>
          <w:tcPr>
            <w:tcW w:type="dxa" w:w="1728"/>
          </w:tcPr>
          <w:p>
            <w:r>
              <w:t>CTNNB1</w:t>
            </w:r>
          </w:p>
        </w:tc>
        <w:tc>
          <w:tcPr>
            <w:tcW w:type="dxa" w:w="1728"/>
          </w:tcPr>
          <w:p>
            <w:r>
              <w:t>Hub Regulator</w:t>
            </w:r>
          </w:p>
        </w:tc>
        <w:tc>
          <w:tcPr>
            <w:tcW w:type="dxa" w:w="1728"/>
          </w:tcPr>
          <w:p>
            <w:r>
              <w:t>310</w:t>
            </w:r>
          </w:p>
        </w:tc>
        <w:tc>
          <w:tcPr>
            <w:tcW w:type="dxa" w:w="1728"/>
          </w:tcPr>
          <w:p>
            <w:r>
              <w:t>18</w:t>
            </w:r>
          </w:p>
        </w:tc>
        <w:tc>
          <w:tcPr>
            <w:tcW w:type="dxa" w:w="1728"/>
          </w:tcPr>
          <w:p>
            <w:r>
              <w:t>CHD2 (0.530)</w:t>
            </w:r>
          </w:p>
        </w:tc>
      </w:tr>
      <w:tr>
        <w:tc>
          <w:tcPr>
            <w:tcW w:type="dxa" w:w="1728"/>
          </w:tcPr>
          <w:p>
            <w:r>
              <w:t>CCND1</w:t>
            </w:r>
          </w:p>
        </w:tc>
        <w:tc>
          <w:tcPr>
            <w:tcW w:type="dxa" w:w="1728"/>
          </w:tcPr>
          <w:p>
            <w:r>
              <w:t>Heavily Regulated</w:t>
            </w:r>
          </w:p>
        </w:tc>
        <w:tc>
          <w:tcPr>
            <w:tcW w:type="dxa" w:w="1728"/>
          </w:tcPr>
          <w:p>
            <w:r>
              <w:t>0</w:t>
            </w:r>
          </w:p>
        </w:tc>
        <w:tc>
          <w:tcPr>
            <w:tcW w:type="dxa" w:w="1728"/>
          </w:tcPr>
          <w:p>
            <w:r>
              <w:t>42</w:t>
            </w:r>
          </w:p>
        </w:tc>
        <w:tc>
          <w:tcPr>
            <w:tcW w:type="dxa" w:w="1728"/>
          </w:tcPr>
          <w:p>
            <w:r>
              <w:t>ZBTB20 (0.600)</w:t>
            </w:r>
          </w:p>
        </w:tc>
      </w:tr>
      <w:tr>
        <w:tc>
          <w:tcPr>
            <w:tcW w:type="dxa" w:w="1728"/>
          </w:tcPr>
          <w:p>
            <w:r>
              <w:t>TP53</w:t>
            </w:r>
          </w:p>
        </w:tc>
        <w:tc>
          <w:tcPr>
            <w:tcW w:type="dxa" w:w="1728"/>
          </w:tcPr>
          <w:p>
            <w:r>
              <w:t>Hub Regulator</w:t>
            </w:r>
          </w:p>
        </w:tc>
        <w:tc>
          <w:tcPr>
            <w:tcW w:type="dxa" w:w="1728"/>
          </w:tcPr>
          <w:p>
            <w:r>
              <w:t>163</w:t>
            </w:r>
          </w:p>
        </w:tc>
        <w:tc>
          <w:tcPr>
            <w:tcW w:type="dxa" w:w="1728"/>
          </w:tcPr>
          <w:p>
            <w:r>
              <w:t>7</w:t>
            </w:r>
          </w:p>
        </w:tc>
        <w:tc>
          <w:tcPr>
            <w:tcW w:type="dxa" w:w="1728"/>
          </w:tcPr>
          <w:p>
            <w:r>
              <w:t>**WWTR1 (0.473)**</w:t>
            </w:r>
          </w:p>
        </w:tc>
      </w:tr>
      <w:tr>
        <w:tc>
          <w:tcPr>
            <w:tcW w:type="dxa" w:w="1728"/>
          </w:tcPr>
          <w:p>
            <w:r>
              <w:t>KRAS</w:t>
            </w:r>
          </w:p>
        </w:tc>
        <w:tc>
          <w:tcPr>
            <w:tcW w:type="dxa" w:w="1728"/>
          </w:tcPr>
          <w:p>
            <w:r>
              <w:t>Heavily Regulated</w:t>
            </w:r>
          </w:p>
        </w:tc>
        <w:tc>
          <w:tcPr>
            <w:tcW w:type="dxa" w:w="1728"/>
          </w:tcPr>
          <w:p>
            <w:r>
              <w:t>0</w:t>
            </w:r>
          </w:p>
        </w:tc>
        <w:tc>
          <w:tcPr>
            <w:tcW w:type="dxa" w:w="1728"/>
          </w:tcPr>
          <w:p>
            <w:r>
              <w:t>7</w:t>
            </w:r>
          </w:p>
        </w:tc>
        <w:tc>
          <w:tcPr>
            <w:tcW w:type="dxa" w:w="1728"/>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PageRank (primary ranking, calculated on entire network to capture global influence; best predictor of drug target success per Mora &amp; Donaldson 2021) and out-degree centrality (secondary ranking, measures direct downstream targets). Top candidate shown for each gene. These rankings serve as hypotheses for experimental validation. Detailed TP53 regulator ranking results presented below (Table 3) as representative example with complete rankings of all 7 regulators.*</w:t>
      </w:r>
    </w:p>
    <w:p>
      <w:r>
        <w:t>#### Network Architecture and Literature Context</w:t>
      </w:r>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Pr>
        <w:pStyle w:val="Heading2"/>
      </w:pPr>
      <w:r>
        <w:t>Therapeutic Target Prioritization: TP53 Candidate Regulator Ranking</w:t>
      </w:r>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r>
        <w:rPr>
          <w:b/>
        </w:rPr>
        <w:t>Table 3 shows the complete ranking of all 7 regulators</w:t>
      </w:r>
      <w:r>
        <w:t>, not a filtered subset, providing full transparency in the prioritization analysis.</w:t>
      </w:r>
    </w:p>
    <w:p>
      <w:r>
        <w:rPr>
          <w:b/>
        </w:rPr>
        <w:t>Table 3. TP53 Therapeutic Target Prioritization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 (32-35)</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 (37-39)</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 (32-35)</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Known regulatory relationships:</w:t>
      </w:r>
      <w:r>
        <w:t xml:space="preserve">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2. Pathway-network concordance:</w:t>
      </w:r>
      <w:r>
        <w:t xml:space="preserve"> Pathway enrichment independently identified Hippo signaling (FDR = 0.020), confirming biological coherence between network structure and pathway-level regulation.</w:t>
      </w:r>
    </w:p>
    <w:p>
      <w:r>
        <w:rPr>
          <w:b/>
        </w:rPr>
        <w:t>3. Network architecture alignment:</w:t>
      </w:r>
      <w:r>
        <w:t xml:space="preserve"> Identified regulatory architectures (hub regulators vs. heavily regulated genes) align with known biological roles - TP53, MYC, and CTNNB1 as master regulatory hubs in tumor suppression and oncogenic signaling, while CCND1 and KRAS function as end-point effectors.</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Therapeutic Target Prioritization:</w:t>
      </w:r>
      <w:r>
        <w:t xml:space="preserve">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Performance Benchmarking Against Manual Workflows</w:t>
      </w:r>
    </w:p>
    <w:p>
      <w:r>
        <w:t xml:space="preserve">To contextualize the efficiency gains, we compared RegNetAgents to representative manual workflows researchers currently perform. </w:t>
      </w:r>
      <w:r>
        <w:rPr>
          <w:b/>
        </w:rPr>
        <w:t>Table 4</w:t>
      </w:r>
      <w:r>
        <w:t xml:space="preserve"> presents estimated time requirements for typical analysis tasks.</w:t>
      </w:r>
    </w:p>
    <w:p>
      <w:r>
        <w:br w:type="page"/>
      </w:r>
    </w:p>
    <w:p>
      <w:r>
        <w:rPr>
          <w:b/>
        </w:rPr>
        <w:t>Table 4. Performance Comparison: Automated vs Manual Workflows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Task</w:t>
            </w:r>
          </w:p>
        </w:tc>
        <w:tc>
          <w:tcPr>
            <w:tcW w:type="dxa" w:w="2160"/>
          </w:tcPr>
          <w:p>
            <w:r>
              <w:rPr>
                <w:b/>
              </w:rPr>
              <w:t>Manual Workflow (Estimated)</w:t>
            </w:r>
          </w:p>
        </w:tc>
        <w:tc>
          <w:tcPr>
            <w:tcW w:type="dxa" w:w="2160"/>
          </w:tcPr>
          <w:p>
            <w:r>
              <w:rPr>
                <w:b/>
              </w:rPr>
              <w:t>RegNetAgents (Measured)</w:t>
            </w:r>
          </w:p>
        </w:tc>
        <w:tc>
          <w:tcPr>
            <w:tcW w:type="dxa" w:w="2160"/>
          </w:tcPr>
          <w:p>
            <w:r>
              <w:rPr>
                <w:b/>
              </w:rPr>
              <w:t>Speedup</w:t>
            </w:r>
          </w:p>
        </w:tc>
      </w:tr>
      <w:tr>
        <w:tc>
          <w:tcPr>
            <w:tcW w:type="dxa" w:w="2160"/>
          </w:tcPr>
          <w:p>
            <w:r>
              <w:t>Single gene network + regulators + targets</w:t>
            </w:r>
          </w:p>
        </w:tc>
        <w:tc>
          <w:tcPr>
            <w:tcW w:type="dxa" w:w="2160"/>
          </w:tcPr>
          <w:p>
            <w:r>
              <w:t>15-30 min (STRING/BioGRID query + export)</w:t>
            </w:r>
          </w:p>
        </w:tc>
        <w:tc>
          <w:tcPr>
            <w:tcW w:type="dxa" w:w="2160"/>
          </w:tcPr>
          <w:p>
            <w:r>
              <w:t>0.60 sec (rule-based)</w:t>
            </w:r>
          </w:p>
        </w:tc>
        <w:tc>
          <w:tcPr>
            <w:tcW w:type="dxa" w:w="2160"/>
          </w:tcPr>
          <w:p>
            <w:r>
              <w:t>~1,500-3,000×</w:t>
            </w:r>
          </w:p>
        </w:tc>
      </w:tr>
      <w:tr>
        <w:tc>
          <w:tcPr>
            <w:tcW w:type="dxa" w:w="2160"/>
          </w:tcPr>
          <w:p>
            <w:r>
              <w:t>Pathway enrichment (single gene)</w:t>
            </w:r>
          </w:p>
        </w:tc>
        <w:tc>
          <w:tcPr>
            <w:tcW w:type="dxa" w:w="2160"/>
          </w:tcPr>
          <w:p>
            <w:r>
              <w:t>10-15 min (Enrichr/DAVID upload + results)</w:t>
            </w:r>
          </w:p>
        </w:tc>
        <w:tc>
          <w:tcPr>
            <w:tcW w:type="dxa" w:w="2160"/>
          </w:tcPr>
          <w:p>
            <w:r>
              <w:t>1-3 sec (Reactome API)</w:t>
            </w:r>
          </w:p>
        </w:tc>
        <w:tc>
          <w:tcPr>
            <w:tcW w:type="dxa" w:w="2160"/>
          </w:tcPr>
          <w:p>
            <w:r>
              <w:t>~200-900×</w:t>
            </w:r>
          </w:p>
        </w:tc>
      </w:tr>
      <w:tr>
        <w:tc>
          <w:tcPr>
            <w:tcW w:type="dxa" w:w="2160"/>
          </w:tcPr>
          <w:p>
            <w:r>
              <w:t>Therapeutic target prioritization (7 regulators)</w:t>
            </w:r>
          </w:p>
        </w:tc>
        <w:tc>
          <w:tcPr>
            <w:tcW w:type="dxa" w:w="2160"/>
          </w:tcPr>
          <w:p>
            <w:r>
              <w:t>2-4 hours (literature curation per regulator)</w:t>
            </w:r>
          </w:p>
        </w:tc>
        <w:tc>
          <w:tcPr>
            <w:tcW w:type="dxa" w:w="2160"/>
          </w:tcPr>
          <w:p>
            <w:r>
              <w:t>0.60 sec (automated ranking)</w:t>
            </w:r>
          </w:p>
        </w:tc>
        <w:tc>
          <w:tcPr>
            <w:tcW w:type="dxa" w:w="2160"/>
          </w:tcPr>
          <w:p>
            <w:r>
              <w:t>~12,000-24,000×</w:t>
            </w:r>
          </w:p>
        </w:tc>
      </w:tr>
      <w:tr>
        <w:tc>
          <w:tcPr>
            <w:tcW w:type="dxa" w:w="2160"/>
          </w:tcPr>
          <w:p>
            <w:r>
              <w:t>Multi-domain interpretation (4 domains)</w:t>
            </w:r>
          </w:p>
        </w:tc>
        <w:tc>
          <w:tcPr>
            <w:tcW w:type="dxa" w:w="2160"/>
          </w:tcPr>
          <w:p>
            <w:r>
              <w:t>1-2 hours (sequential literature review)</w:t>
            </w:r>
          </w:p>
        </w:tc>
        <w:tc>
          <w:tcPr>
            <w:tcW w:type="dxa" w:w="2160"/>
          </w:tcPr>
          <w:p>
            <w:r>
              <w:t>~12 sec (4 parallel agents)</w:t>
            </w:r>
          </w:p>
        </w:tc>
        <w:tc>
          <w:tcPr>
            <w:tcW w:type="dxa" w:w="2160"/>
          </w:tcPr>
          <w:p>
            <w:r>
              <w:t>~300-600×</w:t>
            </w:r>
          </w:p>
        </w:tc>
      </w:tr>
      <w:tr>
        <w:tc>
          <w:tcPr>
            <w:tcW w:type="dxa" w:w="2160"/>
          </w:tcPr>
          <w:p>
            <w:r>
              <w:t>5-gene comprehensive analysis</w:t>
            </w:r>
          </w:p>
        </w:tc>
        <w:tc>
          <w:tcPr>
            <w:tcW w:type="dxa" w:w="2160"/>
          </w:tcPr>
          <w:p>
            <w:r>
              <w:t>8-16 hours (serial per-gene workflow)</w:t>
            </w:r>
          </w:p>
        </w:tc>
        <w:tc>
          <w:tcPr>
            <w:tcW w:type="dxa" w:w="2160"/>
          </w:tcPr>
          <w:p>
            <w:r>
              <w:t>15.49 sec (rule-based)</w:t>
            </w:r>
          </w:p>
        </w:tc>
        <w:tc>
          <w:tcPr>
            <w:tcW w:type="dxa" w:w="2160"/>
          </w:tcPr>
          <w:p>
            <w:r>
              <w:t>~1,900-3,700×</w:t>
            </w:r>
          </w:p>
        </w:tc>
      </w:tr>
      <w:tr>
        <w:tc>
          <w:tcPr>
            <w:tcW w:type="dxa" w:w="2160"/>
          </w:tcPr>
          <w:p>
            <w:r>
              <w:t>Cross-cell-type comparison (10 types)</w:t>
            </w:r>
          </w:p>
        </w:tc>
        <w:tc>
          <w:tcPr>
            <w:tcW w:type="dxa" w:w="2160"/>
          </w:tcPr>
          <w:p>
            <w:r>
              <w:t>4-8 hours (repeat workflow per type)</w:t>
            </w:r>
          </w:p>
        </w:tc>
        <w:tc>
          <w:tcPr>
            <w:tcW w:type="dxa" w:w="2160"/>
          </w:tcPr>
          <w:p>
            <w:r>
              <w:t>&lt;0.01 sec (pre-indexed)</w:t>
            </w:r>
          </w:p>
        </w:tc>
        <w:tc>
          <w:tcPr>
            <w:tcW w:type="dxa" w:w="216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r>
        <w:rPr>
          <w:b/>
        </w:rPr>
        <w:t>Key observations:</w:t>
      </w:r>
      <w:r>
        <w:t xml:space="preserve">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Ranking:</w:t>
      </w:r>
      <w:r>
        <w:t xml:space="preserve">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r>
        <w:br w:type="page"/>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r>
        <w:br w:type="page"/>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rPr>
          <w:b/>
        </w:rPr>
        <w:t>Example JSON Output:</w:t>
      </w:r>
      <w:r>
        <w:t xml:space="preserve"> The framework returns structured JSON responses. Example for TP53 analysis (abbreviated):</w:t>
      </w:r>
    </w:p>
    <w:p>
      <w:pPr>
        <w:ind w:left="720"/>
      </w:pPr>
      <w:r>
        <w:rPr>
          <w:rFonts w:ascii="Courier New" w:hAnsi="Courier New"/>
          <w:sz w:val="18"/>
        </w:rPr>
        <w:t>{</w:t>
        <w:br/>
        <w:t xml:space="preserve">  "gene_analysis_summary": {</w:t>
        <w:br/>
        <w:t xml:space="preserve">    "gene": "TP53",</w:t>
        <w:br/>
        <w:t xml:space="preserve">    "cell_type": "epithelial_cell",</w:t>
        <w:br/>
        <w:t xml:space="preserve">    "regulatory_role": "hub_regulator"</w:t>
        <w:br/>
        <w:t xml:space="preserve">  },</w:t>
        <w:br/>
        <w:t xml:space="preserve">  "network_analysis": {</w:t>
        <w:br/>
        <w:t xml:space="preserve">    "num_regulators": 7,</w:t>
        <w:br/>
        <w:t xml:space="preserve">    "num_targets": 163,</w:t>
        <w:br/>
        <w:t xml:space="preserve">    "regulatory_role": "hub_regulator"</w:t>
        <w:br/>
        <w:t xml:space="preserve">  },</w:t>
        <w:br/>
        <w:t xml:space="preserve">  "therapeutic_target_prioritization": {</w:t>
        <w:br/>
        <w:t xml:space="preserve">    "perturbation_results": [</w:t>
        <w:br/>
        <w:t xml:space="preserve">      {</w:t>
        <w:br/>
        <w:t xml:space="preserve">        "regulator": "WWTR1",</w:t>
        <w:br/>
        <w:t xml:space="preserve">        "regulator_downstream_targets": 293,</w:t>
        <w:br/>
        <w:t xml:space="preserve">        "centrality_metrics": {"pagerank": 0.4734}</w:t>
        <w:br/>
        <w:t xml:space="preserve">      }</w:t>
        <w:br/>
        <w:t xml:space="preserve">    ]</w:t>
        <w:br/>
        <w:t xml:space="preserve">  },</w:t>
        <w:br/>
        <w:t xml:space="preserve">  "pathway_enrichment": {</w:t>
        <w:br/>
        <w:t xml:space="preserve">    "enriched_pathways": [</w:t>
        <w:br/>
        <w:t xml:space="preserve">      {</w:t>
        <w:br/>
        <w:t xml:space="preserve">        "pathway_name": "Regulation of TP53 Expression",</w:t>
        <w:br/>
        <w:t xml:space="preserve">        "fdr": 0.0033,</w:t>
        <w:br/>
        <w:t xml:space="preserve">        "genes_found": 2</w:t>
        <w:br/>
        <w:t xml:space="preserve">      }</w:t>
        <w:br/>
        <w:t xml:space="preserve">    ]</w:t>
        <w:br/>
        <w:t xml:space="preserve">  }</w:t>
        <w:br/>
        <w:t>}</w:t>
      </w:r>
    </w:p>
    <w:p>
      <w:r>
        <w:rPr>
          <w:b/>
        </w:rPr>
        <w:t>Data and License Information:</w:t>
      </w:r>
      <w:r>
        <w:t xml:space="preserve">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