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(33,34). The high PageRank ranking identifies WWTR1 as a central network node, consistent with the established role of Hippo pathway components in regulating cell growth and tumor suppression (39,40). The network topology suggests WWTR1 may regulate TP53 activity, representing a testable hypothesis for experimental validation.</w:t>
      </w:r>
    </w:p>
    <w:p/>
    <w:p>
      <w:r>
        <w:t>RBPMS: RNA-binding protein with multiple splicing. The related protein RBPMS2 has been implicated in smooth muscle plasticity and gene regulation (29), though limited literature exists on RBPMS itself in cancer contexts. While RBPMS shows the highest degree centrality (most connections), direct TP53 regulation represents a testable hypothesis prioritized by network topology for experimental follow-up.</w:t>
      </w:r>
    </w:p>
    <w:p/>
    <w:p>
      <w:r>
        <w:t>PRRX2: Paired-related homeobox 2, a transcription factor with limited characterization in TP53 regulatory contexts. PRRX2's high PageRank despite moderate degree centrality reflects quality over quantity in network connections. Direct TP53 regulation by PRRX2 represents a novel hypothesis prioritized by network topology for experimental validation.</w:t>
      </w:r>
    </w:p>
    <w:p/>
    <w:p>
      <w:r>
        <w:t>This comparison demonstrates that topology-based ranking can: (1) recapitulate experimentally validated regulators (WWTR1 and YAP1 from Hippo pathway, CHD4 from chromatin remodeling complexes),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