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For large networks (≥1,000 nodes), PageRank values are normalized by dividing by the maximum PageRank in that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br w:type="page"/>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 xml:space="preserve">To illustrate framework capabilities for hypothesis generation, we performed automated perturbation analysis on TP53, which has 7 upstream regulators in epithelial cells according to the ARACNe-inferred network. </w:t>
      </w:r>
      <w:r>
        <w:rPr>
          <w:b/>
        </w:rPr>
        <w:t>Table 3 shows all 7 regulators</w:t>
      </w:r>
      <w:r>
        <w:t xml:space="preserve"> (complete perturbation analysis), not a filtered subset.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br w:type="page"/>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Perturbation analysis (7 regulators)</w:t>
            </w:r>
          </w:p>
        </w:tc>
        <w:tc>
          <w:tcPr>
            <w:tcW w:type="dxa" w:w="2160"/>
          </w:tcPr>
          <w:p>
            <w:r>
              <w:t>2-4 hours (literature curation per regulator)</w:t>
            </w:r>
          </w:p>
        </w:tc>
        <w:tc>
          <w:tcPr>
            <w:tcW w:type="dxa" w:w="2160"/>
          </w:tcPr>
          <w:p>
            <w:r>
              <w:t>0.60 sec (automated)</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r>
        <w:t>```json</w:t>
      </w:r>
    </w:p>
    <w:p>
      <w:r>
        <w:t>{</w:t>
      </w:r>
    </w:p>
    <w:p>
      <w:r>
        <w:t>"gene_symbol": "TP53",</w:t>
      </w:r>
    </w:p>
    <w:p>
      <w:r>
        <w:t>"cell_type": "epithelial",</w:t>
      </w:r>
    </w:p>
    <w:p>
      <w:r>
        <w:t>"network_analysis": {</w:t>
      </w:r>
    </w:p>
    <w:p>
      <w:r>
        <w:t>"num_regulators": 7,</w:t>
      </w:r>
    </w:p>
    <w:p>
      <w:r>
        <w:t>"num_targets": 163,</w:t>
      </w:r>
    </w:p>
    <w:p>
      <w:r>
        <w:t>"regulatory_role": "Hub Regulator"</w:t>
      </w:r>
    </w:p>
    <w:p>
      <w:r>
        <w:t>},</w:t>
      </w:r>
    </w:p>
    <w:p>
      <w:r>
        <w:t>"perturbation_analysis": {</w:t>
      </w:r>
    </w:p>
    <w:p>
      <w:r>
        <w:t>"regulators": [</w:t>
      </w:r>
    </w:p>
    <w:p>
      <w:r>
        <w:t>{"gene": "WWTR1", "pagerank": 0.473, "out_degree_centrality": 0.020, "targets": 293},</w:t>
      </w:r>
    </w:p>
    <w:p>
      <w:r>
        <w:t>{"gene": "RBPMS", "pagerank": 0.469, "out_degree_centrality": 0.028, "targets": 403}</w:t>
      </w:r>
    </w:p>
    <w:p>
      <w:r>
        <w:t>]</w:t>
      </w:r>
    </w:p>
    <w:p>
      <w:r>
        <w:t>},</w:t>
      </w:r>
    </w:p>
    <w:p>
      <w:r>
        <w:t>"pathway_enrichment": [</w:t>
      </w:r>
    </w:p>
    <w:p>
      <w:r>
        <w:t>{"pathway": "TP53 Regulation", "fdr": 0.001, "entities_found": 12}</w:t>
      </w:r>
    </w:p>
    <w:p>
      <w:r>
        <w:t>]</w:t>
      </w:r>
    </w:p>
    <w:p>
      <w:r>
        <w:t>}</w:t>
      </w:r>
    </w:p>
    <w:p>
      <w: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