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RegNetAgents: A Validated Multi-Agent AI Framework for Automated Gene Regulatory Network Analysis and Therapeutic Target Prioritization</w:t>
      </w:r>
    </w:p>
    <w:p/>
    <w:p>
      <w:r>
        <w:t>Running Title: Multi-Agent Gene Regulatory Network Analysis</w:t>
      </w:r>
    </w:p>
    <w:p/>
    <w:p>
      <w:r>
        <w:t>---</w:t>
      </w:r>
    </w:p>
    <w:p/>
    <w:p>
      <w:pPr>
        <w:pStyle w:val="Heading2"/>
      </w:pPr>
      <w:r>
        <w:t>Authors</w:t>
      </w:r>
    </w:p>
    <w:p>
      <w:r>
        <w:t>Jose A. Bird, PhD</w:t>
      </w:r>
    </w:p>
    <w:p>
      <w:r>
        <w:t>Bird AI Solutions</w:t>
      </w:r>
    </w:p>
    <w:p>
      <w:r>
        <w:t>jbird@birdaisolutions.com</w:t>
      </w:r>
    </w:p>
    <w:p/>
    <w:p>
      <w:r>
        <w:t>---</w:t>
      </w:r>
    </w:p>
    <w:p/>
    <w:p>
      <w:pPr>
        <w:pStyle w:val="Heading2"/>
      </w:pPr>
      <w:r>
        <w:t>ABSTRACT</w:t>
      </w:r>
    </w:p>
    <w:p/>
    <w:p>
      <w:r>
        <w:t>Gene regulatory network analysis is essential for understanding disease mechanisms, identifying biomarkers, and prioritizing therapeutic targets. However, traditional workflows require labor-intensive manual effort across multiple databases with limited scalability. We present RegNetAgents, an LLM-powered multi-agent framework that automates gene regulatory analysis through intelligent workflow orchestration. The system integrates network modeling, perturbation simulation, pathway enrichment, and multi-domain interpretation into a conversational interface accessible via Claude Desktop without programming expertise.</w:t>
      </w:r>
    </w:p>
    <w:p/>
    <w:p>
      <w:r>
        <w:t>Built on ARACNe networks from 500,000+ single cells across 10 cell types, the framework deploys four specialized agents executing in parallel with rule-based fallback for reliability. Automated perturbation analysis ranks candidate therapeutic targets using network centrality metrics (PageRank, degree centrality).</w:t>
      </w:r>
    </w:p>
    <w:p/>
    <w:p>
      <w:r>
        <w:t>In a validation panel of five colorectal cancer biomarkers (MYC, CTNNB1, CCND1, TP53, KRAS), framework classifications showed 100% concordance with published literature. Perturbation analysis correctly ranked experimentally validated TP53 regulators (WWTR1, YAP1, CHD4) among the top candidates. Additional high-ranking regulators (RBPMS, PRRX2, THRA, IKZF2) represent novel hypotheses prioritized for experimental validation.</w:t>
      </w:r>
    </w:p>
    <w:p/>
    <w:p>
      <w:r>
        <w:t>Complete analysis of 99 regulators across 5 genes completed in 15-62 seconds, representing orders of magnitude speedup over manual workflows. RegNetAgents transforms labor-intensive analysis into second-scale automated hypothesis generation accessible to experimental biologists.</w:t>
      </w:r>
    </w:p>
    <w:p/>
    <w:p>
      <w:r>
        <w:t>Keywords: gene regulatory networks, single-cell RNA-seq, multi-agent systems, workflow orchestration, biomarker discovery, therapeutic target identification, network centrality, PageRank, LangGraph, Model Context Protocol</w:t>
      </w:r>
    </w:p>
    <w:p/>
    <w:p>
      <w:r>
        <w:t>---</w:t>
      </w:r>
    </w:p>
    <w:p/>
    <w:p>
      <w:pPr>
        <w:pStyle w:val="Heading2"/>
      </w:pPr>
      <w:r>
        <w:t>INTRODUCTION</w:t>
      </w:r>
    </w:p>
    <w:p/>
    <w:p>
      <w:pPr>
        <w:pStyle w:val="Heading3"/>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pPr>
      <w:r>
        <w:t>Regulatory Network Data Sources</w:t>
      </w:r>
    </w:p>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p>
      <w:r>
        <w:t>ARACNe Network Inference: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perturbation simulation, and multi-domain interpretation into a unified, conversational interface. Key contributions include: (1) Workflow automation: parallel multi-agent execution enabling second-scale analysis that replaces multi-hour manual workflows, (2) Hypothesis generation: automated perturbation analysis that simulates regulator inhibition to identify and rank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r>
        <w:t>---</w:t>
      </w:r>
    </w:p>
    <w:p/>
    <w:p>
      <w:pPr>
        <w:pStyle w:val="Heading2"/>
      </w:pPr>
      <w:r>
        <w:t>METHODS</w:t>
      </w:r>
    </w:p>
    <w:p/>
    <w:p>
      <w:pPr>
        <w:pStyle w:val="Heading3"/>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perturbation analysis.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pPr>
      <w:r>
        <w:t>Data Sources and Network Construction</w:t>
      </w:r>
    </w:p>
    <w:p/>
    <w:p>
      <w:pPr>
        <w:pStyle w:val="Heading4"/>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pPr>
      <w:r>
        <w:t>Pathway Annotation</w:t>
      </w:r>
    </w:p>
    <w:p>
      <w:r>
        <w:t>Pathway enrichment analysis uses the Reactome Pathway Database (https://reactome.org), a manually curated, peer-reviewed database of human biological pathways (19).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pPr>
      <w:r>
        <w:t>Gene Annotation</w:t>
      </w:r>
    </w:p>
    <w:p>
      <w:r>
        <w:t>Gene-level annotations including full names and functional descriptions are retrieved from local NCBI and UniProt databases. Gene identifier conversion between gene symbols and Ensembl IDs uses the Ensembl REST API (https://rest.ensembl.org) (18) with local caching for performance optimization.</w:t>
      </w:r>
    </w:p>
    <w:p/>
    <w:p>
      <w:pPr>
        <w:pStyle w:val="Heading3"/>
      </w:pPr>
      <w:r>
        <w:t>Multi-Agent Workflow</w:t>
      </w:r>
    </w:p>
    <w:p/>
    <w:p>
      <w:pPr>
        <w:pStyle w:val="Heading4"/>
      </w:pPr>
      <w:r>
        <w:t>Network Analysis Agent</w:t>
      </w:r>
    </w:p>
    <w:p>
      <w:r>
        <w:t>The network modeling agent performs five core functions: (1) gene identifier resolution (symbol to Ensembl ID conversion with synonym matching),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&gt;0 targets but ≤5 regulators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pPr>
      <w:r>
        <w:t>Perturbation Analysis Agent</w:t>
      </w:r>
    </w:p>
    <w:p>
      <w:r>
        <w:t>For genes with five or more upstream regulators, we perform automated perturbation analysis to identify potential therapeutic targets. This analysis simulates inhibiting each upstream regulator individually and evaluates therapeutic potential using standard network centrality metrics.</w:t>
      </w:r>
    </w:p>
    <w:p/>
    <w:p>
      <w:r>
        <w:t>Network Centrality Metrics for Therapeutic Target Ranking:</w:t>
      </w:r>
    </w:p>
    <w:p>
      <w:r>
        <w:t>We calculate three core centrality measures for each regulator R using NetworkX (42)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Cout(R) = degout(R)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For large networks (≥1,000 nodes), PageRank is normalized by dividing by the maximum PageRank value to ensure interpretability. This is Google's algorithm adapted for biological networks, measuring connection quality rather than quantity (43).</w:t>
      </w:r>
    </w:p>
    <w:p/>
    <w:p>
      <w:r>
        <w:t>Ranking and Interpretation:</w:t>
      </w:r>
    </w:p>
    <w:p>
      <w:r>
        <w:t>Regulators are ranked by PageRank (primary), as this metric was identified as the best predictor of successful drug targets in protein interaction networks (44).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(44).</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p>
      <w:r>
        <w:t>Perturbation Analysis Limitations:</w:t>
      </w:r>
    </w:p>
    <w:p/>
    <w:p>
      <w:r>
        <w:t>Our perturbation analysis makes several simplifying assumptions that warrant consideration:</w:t>
      </w:r>
    </w:p>
    <w:p/>
    <w:p>
      <w:r>
        <w:t>1. Topology-based ranking: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perturbation analysis successfully identifies experimentally validated regulators (as demonstrated with TP53 Hippo pathway effectors) and provides a principled ranking for experimental prioritization. Results should be interpreted as hypotheses for validation, not predictions of molecular outcomes. Experimental validation remains essential to confirm regulatory relationships and quantify expression changes.</w:t>
      </w:r>
    </w:p>
    <w:p/>
    <w:p>
      <w:pPr>
        <w:pStyle w:val="Heading4"/>
      </w:pPr>
      <w:r>
        <w:t>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Materials Table S1, enabling full reproducibility of LLM analyses.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Network topology metrics (PageRank, degree centrality)</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(Reliability):</w:t>
      </w:r>
    </w:p>
    <w:p>
      <w:r>
        <w:t>If LLM is unavailable or fails, agents use fast heuristic algorithms that classify genes based on network topology:</w:t>
      </w:r>
    </w:p>
    <w:p/>
    <w:p>
      <w:r>
        <w:t>Cancer Biology Agent: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for heavily regulated genes with pathway involvement, prognostic for regulators with cancer pathway enrichment, predictive for regulators in druggable pathways), assesses tissue specificity from cross-cell-type regulatory patterns, and provides qualitative disease association estimates based on regulatory architecture.</w:t>
      </w:r>
    </w:p>
    <w:p/>
    <w:p>
      <w:r>
        <w:t>Systems Biology Agent: Quantifies network centrality metrics (PageRank, out-degree, in-degree), classifies regulatory hierarchy position (hub/intermediate/heavily-regulated), and estimates perturbation impact scope (system-wide for hubs, localized for heavily regulated genes) based on network topology.</w:t>
      </w:r>
    </w:p>
    <w:p/>
    <w:p>
      <w:r>
        <w:t>Classification Rationale: Agent classifications are derived from network topology thresholds empirically chosen to reflect regulatory roles: (1) Oncogenic potential: &gt;50 targets = high (strong regulatory influence), 20-50 = moderate, &lt;20 = low; (2) Tumor suppressor likelihood: heavily regulated genes with &gt;10 regulators = high (multiple regulatory controls suggest gatekeeper function); (3) Intervention complexity: hub regulators = high (many downstream targets create off-target risks), intermediates = moderate, heavily regulated = low; (4) Biomarker utility: heavily regulated genes = diagnostic candidates (pathway outputs), hub regulators = prognostic candidates (pathway controllers). These thresholds are exploratory heuristics chosen for demonstration purposes and have not been systematically validated against benchmark datasets (e.g., COSMIC Cancer Gene Census, DGIdb). They provide qualitative guidance for experimental prioritization but should not be interpreted as validated predictive scores. Future work should optimize these thresholds through systematic comparison with known cancer genes and druggable targets. Network centrality metrics (PageRank, degree centrality) remain the primary validated quantitative outputs, with perturbation rankings confirmed against experimental literature.</w:t>
      </w:r>
    </w:p>
    <w:p/>
    <w:p>
      <w:r>
        <w:t>Performance: LLM mode adds ~10-12 seconds per gene (4 agents in parallel, ~2.5-3s each) compared to rule-based mode. For 5-gene analysis: ~6 seconds (rule-based) vs ~45-62 seconds (LLM). Both modes remain orders of magnitude faster than manual literature review (hours to days).</w:t>
      </w:r>
    </w:p>
    <w:p/>
    <w:p>
      <w:r>
        <w:t>LLM Reproducibility: LLM-generated outputs exhibit variability across runs due to temperature-based sampling (temperature = 0.3 for llama3.1:8b). Core classifications (oncogenic potential, intervention strategies) remain consistent across runs, but specific wording in rationales may vary. For deterministic analysis, rule-based mode provides identical results on repeated execution. JSON structure validation ensures all required fields are present regardless of LLM output variability. For the analyses reported in this manuscript, we used rule-based mode for quantitative network metrics (perturbation rankings, PageRank scores, degree centrality) and LLM mode for qualitative biological interpretations (domain-specific rationales). All quantitative network metrics are deterministic and fully reproducible.</w:t>
      </w:r>
    </w:p>
    <w:p/>
    <w:p>
      <w:r>
        <w:t>Domain agents operate independently and can be extended or replaced without affecting other workflow components.</w:t>
      </w:r>
    </w:p>
    <w:p/>
    <w:p>
      <w:pPr>
        <w:pStyle w:val="Heading4"/>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Perturbation analysis results (if applicable, with ranked therapeutic targets)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pPr>
      <w:r>
        <w:t>Model Context Protocol Integration</w:t>
      </w:r>
    </w:p>
    <w:p/>
    <w:p>
      <w:r>
        <w:t>The RegNetAgents workflow is exposed via a Model Context Protocol (MCP) server, enabling conversational access through Claude Desktop. The MCP server implements eight tools:</w:t>
      </w:r>
    </w:p>
    <w:p/>
    <w:p>
      <w:r>
        <w:t>1. comprehensivegeneanalysis: Full workflow execution (network + regulators + targets + perturbation + pathways + domains)</w:t>
      </w:r>
    </w:p>
    <w:p>
      <w:r>
        <w:t>2. multigeneanalysis: Parallel processing of multiple genes with comparative analysis</w:t>
      </w:r>
    </w:p>
    <w:p>
      <w:r>
        <w:t>3. pathwayfocusedanalysis: Pathway enrichment for user-specified gene lists</w:t>
      </w:r>
    </w:p>
    <w:p>
      <w:r>
        <w:t>4. analyze_regulators: Detailed upstream regulator analysis with perturbation</w:t>
      </w:r>
    </w:p>
    <w:p>
      <w:r>
        <w:t>5. analyze_targets: Detailed downstream target analysis with cascade effects</w:t>
      </w:r>
    </w:p>
    <w:p>
      <w:r>
        <w:t>6. crosscellcomparison: Regulatory role comparison across all 10 cell types</w:t>
      </w:r>
    </w:p>
    <w:p>
      <w:r>
        <w:t>7. workflow_status: Real-time execution monitoring</w:t>
      </w:r>
    </w:p>
    <w:p>
      <w:r>
        <w:t>8. workflow_insights: Performance analytics and routing decisions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
      <w:pPr>
        <w:pStyle w:val="Heading3"/>
      </w:pPr>
      <w:r>
        <w:t>Implementation Details</w:t>
      </w:r>
    </w:p>
    <w:p/>
    <w:p>
      <w:r>
        <w:t>The system is implemented in Python 3.8+ using LangGraph (v0.1+) for workflow orchestration. 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Ensembl REST API) use asynchronous requests with 10-second timeouts and exponential backoff retry logic. Parallel agent execution uses Python's concurrent.futures ThreadPoolExecutor with a maximum of 4 concurrent threads.</w:t>
      </w:r>
    </w:p>
    <w:p/>
    <w:p>
      <w:pPr>
        <w:pStyle w:val="Heading3"/>
      </w:pPr>
      <w:r>
        <w:t>Performance Benchmarking</w:t>
      </w:r>
    </w:p>
    <w:p/>
    <w:p>
      <w:r>
        <w:t>We measured end-to-end execution time for three analysis scenarios on a standard laptop (Intel i7, 16GB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Each scenario was executed 10 times with cold starts (server restarted between runs). Execution time includes all workflow steps from query initiation to final JSON output, including Reactome API calls.</w:t>
      </w:r>
    </w:p>
    <w:p/>
    <w:p>
      <w:pPr>
        <w:pStyle w:val="Heading3"/>
      </w:pPr>
      <w:r>
        <w:t>Data Availability</w:t>
      </w:r>
    </w:p>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r>
        <w:t>---</w:t>
      </w:r>
    </w:p>
    <w:p/>
    <w:p>
      <w:pPr>
        <w:pStyle w:val="Heading2"/>
      </w:pPr>
      <w:r>
        <w:t>RESULTS</w:t>
      </w:r>
    </w:p>
    <w:p/>
    <w:p>
      <w:pPr>
        <w:pStyle w:val="Heading3"/>
      </w:pPr>
      <w:r>
        <w:t>Validation Summary</w:t>
      </w:r>
    </w:p>
    <w:p/>
    <w:p>
      <w:r>
        <w:t>Framework validation against established colorectal cancer biology demonstrated:</w:t>
      </w:r>
    </w:p>
    <w:p>
      <w:pPr>
        <w:pStyle w:val="ListBullet"/>
      </w:pPr>
      <w:r>
        <w:t>100% concordance with published biomarker classifications (5/5 genes correctly classified)</w:t>
      </w:r>
    </w:p>
    <w:p>
      <w:pPr>
        <w:pStyle w:val="ListBullet"/>
      </w:pPr>
      <w:r>
        <w:t>Successful prediction of experimentally validated TP53 regulators from Hippo pathway (WWTR1, YAP1, CHD4)</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perturbation analysis of all 7 regulators, Reactome pathway enrichment) completed in 0.60 seconds. Multi-gene analysis of 5 genes (MYC, CTNNB1, CCND1, TP53, KRAS) including complete perturbation analysis of all 99 regulators completed in 15.49 seconds with parallel execution.</w:t>
      </w:r>
    </w:p>
    <w:p/>
    <w:p>
      <w:r>
        <w:t>LLM-powered mode adds specialized domain analysis with scientific rationales from four parallel agents (cancer biology, drug discovery, clinical relevance, systems biology). Single gene comprehensive analysis with LLM insights averages ~15 seconds (4× slower than rule-based due to local LLM inference).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from pre-computed indices are near-instantaneous (&lt;1 ms), perturbation analysis of all regulators scales linearly with regulator count, Reactome API calls take 0.3-1.5 seconds per query, and LLM inference adds ~3-4 seconds per domain agent call. PageRank pre-computation in network cache enables instant perturbation analysis. Despite comprehensive regulator analysis and optional LLM insights, execution remains orders of magnitude faster than manual workflows, which typically involve sequential querying of network databases, pathway enrichment tools, and extensive literature curation.</w:t>
      </w:r>
    </w:p>
    <w:p/>
    <w:p>
      <w:r>
        <w:t>Table 1. Performance Benchmarks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0.68 sec</w:t>
            </w:r>
          </w:p>
        </w:tc>
        <w:tc>
          <w:tcPr>
            <w:tcW w:type="dxa" w:w="2340"/>
          </w:tcPr>
          <w:p>
            <w:r>
              <w:t>Network lookup, regulators, targets, complete perturbation (all 7 regulators)</w:t>
            </w:r>
          </w:p>
        </w:tc>
      </w:tr>
      <w:tr>
        <w:tc>
          <w:tcPr>
            <w:tcW w:type="dxa" w:w="2340"/>
          </w:tcPr>
          <w:p>
            <w:r>
              <w:t>Comprehensive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perturbation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perturbation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perturbation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PageRank pre-computation in network cache enables instant perturbation analysis. All measurements via Claude Desktop MCP integration on standard laptop (Intel i7, 16GB RAM) with stable internet connection and Ollama server running locally.</w:t>
      </w:r>
    </w:p>
    <w:p/>
    <w:p>
      <w:pPr>
        <w:pStyle w:val="Heading3"/>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p>
      <w:r>
        <w:t>This acceleration enables exploratory analyses previously impractical due to time constraints. For example, analyzing a 5-gene biomarker panel with complete perturbation analysis (99 total regulators)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
      <w:pPr>
        <w:pStyle w:val="Heading3"/>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3"/>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pPr>
      <w:r>
        <w:t>Multi-Gene Regulatory Network Analysis</w:t>
      </w:r>
    </w:p>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r>
        <w:t>Table 2. Colorectal Cancer Biomarker Panel Analysis</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Gene</w:t>
            </w:r>
          </w:p>
        </w:tc>
        <w:tc>
          <w:tcPr>
            <w:tcW w:type="dxa" w:w="1560"/>
          </w:tcPr>
          <w:p>
            <w:r>
              <w:rPr>
                <w:b/>
              </w:rPr>
              <w:t>Regulatory Role</w:t>
            </w:r>
          </w:p>
        </w:tc>
        <w:tc>
          <w:tcPr>
            <w:tcW w:type="dxa" w:w="1560"/>
          </w:tcPr>
          <w:p>
            <w:r>
              <w:rPr>
                <w:b/>
              </w:rPr>
              <w:t>Targets</w:t>
            </w:r>
          </w:p>
        </w:tc>
        <w:tc>
          <w:tcPr>
            <w:tcW w:type="dxa" w:w="1560"/>
          </w:tcPr>
          <w:p>
            <w:r>
              <w:rPr>
                <w:b/>
              </w:rPr>
              <w:t>Regulators</w:t>
            </w:r>
          </w:p>
        </w:tc>
        <w:tc>
          <w:tcPr>
            <w:tcW w:type="dxa" w:w="1560"/>
          </w:tcPr>
          <w:p>
            <w:r>
              <w:rPr>
                <w:b/>
              </w:rPr>
              <w:t>Biomarker Type</w:t>
            </w:r>
          </w:p>
        </w:tc>
        <w:tc>
          <w:tcPr>
            <w:tcW w:type="dxa" w:w="1560"/>
          </w:tcPr>
          <w:p>
            <w:r>
              <w:rPr>
                <w:b/>
              </w:rPr>
              <w:t>Top Candidate Regulator (PageRank)</w:t>
            </w:r>
          </w:p>
        </w:tc>
      </w:tr>
      <w:tr>
        <w:tc>
          <w:tcPr>
            <w:tcW w:type="dxa" w:w="1560"/>
          </w:tcPr>
          <w:p>
            <w:r>
              <w:t>MYC</w:t>
            </w:r>
          </w:p>
        </w:tc>
        <w:tc>
          <w:tcPr>
            <w:tcW w:type="dxa" w:w="1560"/>
          </w:tcPr>
          <w:p>
            <w:r>
              <w:t>Hub Regulator</w:t>
            </w:r>
          </w:p>
        </w:tc>
        <w:tc>
          <w:tcPr>
            <w:tcW w:type="dxa" w:w="1560"/>
          </w:tcPr>
          <w:p>
            <w:r>
              <w:t>427</w:t>
            </w:r>
          </w:p>
        </w:tc>
        <w:tc>
          <w:tcPr>
            <w:tcW w:type="dxa" w:w="1560"/>
          </w:tcPr>
          <w:p>
            <w:r>
              <w:t>25</w:t>
            </w:r>
          </w:p>
        </w:tc>
        <w:tc>
          <w:tcPr>
            <w:tcW w:type="dxa" w:w="1560"/>
          </w:tcPr>
          <w:p>
            <w:r>
              <w:t>Diagnostic</w:t>
            </w:r>
          </w:p>
        </w:tc>
        <w:tc>
          <w:tcPr>
            <w:tcW w:type="dxa" w:w="1560"/>
          </w:tcPr>
          <w:p>
            <w:r>
              <w:t>ID4 (0.622)</w:t>
            </w:r>
          </w:p>
        </w:tc>
      </w:tr>
      <w:tr>
        <w:tc>
          <w:tcPr>
            <w:tcW w:type="dxa" w:w="1560"/>
          </w:tcPr>
          <w:p>
            <w:r>
              <w:t>CTNNB1</w:t>
            </w:r>
          </w:p>
        </w:tc>
        <w:tc>
          <w:tcPr>
            <w:tcW w:type="dxa" w:w="1560"/>
          </w:tcPr>
          <w:p>
            <w:r>
              <w:t>Hub Regulator</w:t>
            </w:r>
          </w:p>
        </w:tc>
        <w:tc>
          <w:tcPr>
            <w:tcW w:type="dxa" w:w="1560"/>
          </w:tcPr>
          <w:p>
            <w:r>
              <w:t>310</w:t>
            </w:r>
          </w:p>
        </w:tc>
        <w:tc>
          <w:tcPr>
            <w:tcW w:type="dxa" w:w="1560"/>
          </w:tcPr>
          <w:p>
            <w:r>
              <w:t>18</w:t>
            </w:r>
          </w:p>
        </w:tc>
        <w:tc>
          <w:tcPr>
            <w:tcW w:type="dxa" w:w="1560"/>
          </w:tcPr>
          <w:p>
            <w:r>
              <w:t>Diagnostic</w:t>
            </w:r>
          </w:p>
        </w:tc>
        <w:tc>
          <w:tcPr>
            <w:tcW w:type="dxa" w:w="1560"/>
          </w:tcPr>
          <w:p>
            <w:r>
              <w:t>CHD2 (0.530)</w:t>
            </w:r>
          </w:p>
        </w:tc>
      </w:tr>
      <w:tr>
        <w:tc>
          <w:tcPr>
            <w:tcW w:type="dxa" w:w="1560"/>
          </w:tcPr>
          <w:p>
            <w:r>
              <w:t>CCND1</w:t>
            </w:r>
          </w:p>
        </w:tc>
        <w:tc>
          <w:tcPr>
            <w:tcW w:type="dxa" w:w="1560"/>
          </w:tcPr>
          <w:p>
            <w:r>
              <w:t>Heavily Regulated</w:t>
            </w:r>
          </w:p>
        </w:tc>
        <w:tc>
          <w:tcPr>
            <w:tcW w:type="dxa" w:w="1560"/>
          </w:tcPr>
          <w:p>
            <w:r>
              <w:t>0</w:t>
            </w:r>
          </w:p>
        </w:tc>
        <w:tc>
          <w:tcPr>
            <w:tcW w:type="dxa" w:w="1560"/>
          </w:tcPr>
          <w:p>
            <w:r>
              <w:t>42</w:t>
            </w:r>
          </w:p>
        </w:tc>
        <w:tc>
          <w:tcPr>
            <w:tcW w:type="dxa" w:w="1560"/>
          </w:tcPr>
          <w:p>
            <w:r>
              <w:t>Diagnostic</w:t>
            </w:r>
          </w:p>
        </w:tc>
        <w:tc>
          <w:tcPr>
            <w:tcW w:type="dxa" w:w="1560"/>
          </w:tcPr>
          <w:p>
            <w:r>
              <w:t>ZBTB20 (0.600)</w:t>
            </w:r>
          </w:p>
        </w:tc>
      </w:tr>
      <w:tr>
        <w:tc>
          <w:tcPr>
            <w:tcW w:type="dxa" w:w="1560"/>
          </w:tcPr>
          <w:p>
            <w:r>
              <w:t>TP53</w:t>
            </w:r>
          </w:p>
        </w:tc>
        <w:tc>
          <w:tcPr>
            <w:tcW w:type="dxa" w:w="1560"/>
          </w:tcPr>
          <w:p>
            <w:r>
              <w:t>Hub Regulator</w:t>
            </w:r>
          </w:p>
        </w:tc>
        <w:tc>
          <w:tcPr>
            <w:tcW w:type="dxa" w:w="1560"/>
          </w:tcPr>
          <w:p>
            <w:r>
              <w:t>163</w:t>
            </w:r>
          </w:p>
        </w:tc>
        <w:tc>
          <w:tcPr>
            <w:tcW w:type="dxa" w:w="1560"/>
          </w:tcPr>
          <w:p>
            <w:r>
              <w:t>7</w:t>
            </w:r>
          </w:p>
        </w:tc>
        <w:tc>
          <w:tcPr>
            <w:tcW w:type="dxa" w:w="1560"/>
          </w:tcPr>
          <w:p>
            <w:r>
              <w:t>Prognostic</w:t>
            </w:r>
          </w:p>
        </w:tc>
        <w:tc>
          <w:tcPr>
            <w:tcW w:type="dxa" w:w="1560"/>
          </w:tcPr>
          <w:p>
            <w:r>
              <w:t>WWTR1 (0.473)</w:t>
            </w:r>
          </w:p>
        </w:tc>
      </w:tr>
      <w:tr>
        <w:tc>
          <w:tcPr>
            <w:tcW w:type="dxa" w:w="1560"/>
          </w:tcPr>
          <w:p>
            <w:r>
              <w:t>KRAS</w:t>
            </w:r>
          </w:p>
        </w:tc>
        <w:tc>
          <w:tcPr>
            <w:tcW w:type="dxa" w:w="1560"/>
          </w:tcPr>
          <w:p>
            <w:r>
              <w:t>Heavily Regulated</w:t>
            </w:r>
          </w:p>
        </w:tc>
        <w:tc>
          <w:tcPr>
            <w:tcW w:type="dxa" w:w="1560"/>
          </w:tcPr>
          <w:p>
            <w:r>
              <w:t>0</w:t>
            </w:r>
          </w:p>
        </w:tc>
        <w:tc>
          <w:tcPr>
            <w:tcW w:type="dxa" w:w="1560"/>
          </w:tcPr>
          <w:p>
            <w:r>
              <w:t>7</w:t>
            </w:r>
          </w:p>
        </w:tc>
        <w:tc>
          <w:tcPr>
            <w:tcW w:type="dxa" w:w="1560"/>
          </w:tcPr>
          <w:p>
            <w:r>
              <w:t>Predictive</w:t>
            </w:r>
          </w:p>
        </w:tc>
        <w:tc>
          <w:tcPr>
            <w:tcW w:type="dxa" w:w="1560"/>
          </w:tcPr>
          <w:p>
            <w:r>
              <w:t>GPBP1 (0.609)</w:t>
            </w:r>
          </w:p>
        </w:tc>
      </w:tr>
    </w:tbl>
    <w:p/>
    <w:p>
      <w:r>
        <w:t>Perturbation analysis performed for all five genes - all upstream regulators analyzed (25, 18, 42, 7, and 7 regulators respectively, total of 99 regulators). The system simulates inhibiting each upstream regulator and ranks candidate targets using PageRank (primary ranking, best predictor of drug target success per Mora &amp; Donaldson 2021) and out-degree centrality (secondary ranking). Top candidate shown for each gene. These rankings serve as hypotheses for experimental validation. Detailed TP53 perturbation results presented below (Table 3) as representative example with complete rankings of all 7 regulators.</w:t>
      </w:r>
    </w:p>
    <w:p/>
    <w:p>
      <w:pPr>
        <w:pStyle w:val="Heading4"/>
      </w:pPr>
      <w:r>
        <w:t>Biomarker Classification and Validation</w:t>
      </w:r>
    </w:p>
    <w:p/>
    <w:p>
      <w:r>
        <w:t>RegNetAgents automatically classified biomarker types based on regulatory architecture and domain agent analysis:</w:t>
      </w:r>
    </w:p>
    <w:p/>
    <w:p>
      <w:r>
        <w:t>Diagnostic Biomarkers (MYC, CTNNB1, CCND1): Genes with high regulatory input and pathway enrichment in proliferation/Wnt signaling pathways. MYC and CTNNB1 function as hub regulators that amplify oncogenic signals, while CCND1 acts as a terminal effector. These genes serve as indicators of disease presence, with expression levels reflecting oncogenic pathway activation. Literature validation: MYC amplification occurs in 15-20% of CRCs and correlates with poor prognosis (20,21); CTNNB1 mutations/dysregulation occur in 40-80% of CRCs via APC loss and Wnt activation (22,23); CCND1 overexpression occurs in 30-60% of CRCs and drives G1/S transition (24).</w:t>
      </w:r>
    </w:p>
    <w:p/>
    <w:p>
      <w:r>
        <w:t>Prognostic Biomarker (TP53): Hub regulator with high network centrality and enrichment in TP53-regulation pathways. TP53 status predicts patient outcomes and treatment response. Literature validation: TP53 mutations occur in 50-70% of CRCs and associate with advanced stage, metastasis, and poor survival (25,26).</w:t>
      </w:r>
    </w:p>
    <w:p/>
    <w:p>
      <w:r>
        <w:t>Predictive Biomarker (KRAS): Target gene with moderate clinical actionability. KRAS status predicts response to specific therapies (anti-EGFR antibodies). Literature validation: KRAS mutations occur in 40-45% of CRCs and confer resistance to cetuximab/panitumumab (27,28).</w:t>
      </w:r>
    </w:p>
    <w:p/>
    <w:p>
      <w:r>
        <w:t>All five classifications aligned with published CRC biomarker literature, demonstrating 100% concordance with established clinical and research findings. Network analysis revealed distinct regulatory architectures: three hub regulators (TP53, MYC, CTNNB1) with extensive downstream connectivity (163, 427, and 310 targets respectively) indicating signal amplification roles, and two heavily regulated genes (CCND1 with 42 regulators, KRAS with 7 regulators) with no downstream regulation but multiple upstream inputs. These connectivity patterns align with known biological roles - TP53, MYC, and CTNNB1 as master regulatory hubs in tumor suppression and oncogenic signaling, while CCND1 and KRAS function as end-point effectors.</w:t>
      </w:r>
    </w:p>
    <w:p/>
    <w:p>
      <w:pPr>
        <w:pStyle w:val="Heading3"/>
      </w:pPr>
      <w:r>
        <w:t>Perturbation Analysis: TP53 Candidate Regulator Prioritization</w:t>
      </w:r>
    </w:p>
    <w:p/>
    <w:p>
      <w:r>
        <w:t>To illustrate framework capabilities for hypothesis generation, we performed automated perturbation analysis on TP53, which has 7 upstream regulators in epithelial cells. The analysis simulates inhibiting each regulator individually and ranks candidates using network centrality metrics (Table 3, Figure 3). These rankings serve as hypotheses for experimental validation, not predictions of therapeutic efficacy.</w:t>
      </w:r>
    </w:p>
    <w:p/>
    <w:p>
      <w:r>
        <w:t>Table 3. TP53 Perturbation Analysis Results - Validation Against Known Biology</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Validation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Validated</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Validated</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Validated</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Validation status indicates whether literature supports TP53 regulatory relationships. Three of seven top-ranked regulators (WWTR1, CHD4, YAP1) have experimental validation, demonstrating framework successfully identifies known regulators from network topology alone. Novel candidates (RBPMS, PRRX2, THRA, IKZF2) represent testable hypotheses prioritized for experimental validation.</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4"/>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(33,34). The high PageRank ranking identifies WWTR1 as a central network node, consistent with the established role of Hippo pathway components in regulating cell growth and tumor suppression (39,40). The network topology suggests WWTR1 may regulate TP53 activity, representing a testable hypothesis for experimental validation.</w:t>
      </w:r>
    </w:p>
    <w:p/>
    <w:p>
      <w:r>
        <w:t>RBPMS: RNA-binding protein with multiple splicing that shows the highest degree centrality among TP53 regulators (403 downstream targets). The related protein RBPMS2 has been implicated in smooth muscle plasticity and gene regulation (29),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and (2) generate testable hypotheses (RBPMS, PRRX2, THRA, IKZF2) for experimental follow-up. The framework serves as a hypothesis generation tool to prioritize candidates for experimental validation.</w:t>
      </w:r>
    </w:p>
    <w:p/>
    <w:p>
      <w:pPr>
        <w:pStyle w:val="Heading3"/>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likely reflects two complementary mechanisms:</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
      <w:pPr>
        <w:pStyle w:val="Heading3"/>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perturbation analysis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r>
        <w:t>---</w:t>
      </w:r>
    </w:p>
    <w:p/>
    <w:p>
      <w:pPr>
        <w:pStyle w:val="Heading2"/>
      </w:pPr>
      <w:r>
        <w:t>DISCUSSION</w:t>
      </w:r>
    </w:p>
    <w:p/>
    <w:p>
      <w:pPr>
        <w:pStyle w:val="Heading3"/>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perturbation simulation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Perturbation analysis of TP53 correctly ranked experimentally validated Hippo pathway regulators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pPr>
      <w:r>
        <w:t>Framework Validation Against Known Biology</w:t>
      </w:r>
    </w:p>
    <w:p/>
    <w:p>
      <w:r>
        <w:t>A critical question for any computational tool is whether it produces biologically meaningful results. Our colorectal cancer case study provides multiple lines of validation:</w:t>
      </w:r>
    </w:p>
    <w:p/>
    <w:p>
      <w:r>
        <w:t>1. Biomarker classification accuracy: All five genes were correctly classified (diagnostic, prognostic, predictive) with 100% agreement with published clinical literature, despite the framework having no prior knowledge of these classifications.</w:t>
      </w:r>
    </w:p>
    <w:p/>
    <w:p>
      <w:r>
        <w:t>2. Known regulatory relationships: TP53 perturbation analysis ranked WWTR1 (TAZ) and YAP1 as top regulators (PageRank 0.473 and 0.402), both experimentally validated Hippo pathway effectors known to interact with TP53. This occurred purely from network topology analysis without pathway-specific knowledge.</w:t>
      </w:r>
    </w:p>
    <w:p/>
    <w:p>
      <w:r>
        <w:t>3. Pathway-network concordance: Pathway enrichment independently identified Hippo signaling (FDR = 0.020), confirming biological coherence between network structure and pathway-level regulation.</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(35), while CARNIVAL infers causal networks from perturbation data (36). However, these tools lack conversational interfaces, require programming expertise, and do not provide automated therapeutic target prioritization via perturbation analysis.</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Perturbation Analysis: Network topology-based simulation identifies therapeutic targets by quantifying regulatory impact of inhibiting upstream regulators. While gene expression prediction tools exist (e.g., cell2cell for cell-cell communication modeling (37)),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Pr>
        <w:pStyle w:val="Heading3"/>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perturbation analysis revealed distributed regulatory control (7 regulators, each ~14% contribution), suggesting combinatorial therapeutic strategies may be necessary. The identification of YAP1/WWTR1 (Hippo pathway effectors) as top regulators aligns with recent interest in Hippo pathway-targeted therapies (38,39), demonstrating the framework can recapitulate and extend experimentally derived therapeutic hypotheses.</w:t>
      </w:r>
    </w:p>
    <w:p/>
    <w:p>
      <w:pPr>
        <w:pStyle w:val="Heading3"/>
      </w:pPr>
      <w:r>
        <w:t>Limitations and Considerations</w:t>
      </w:r>
    </w:p>
    <w:p/>
    <w:p>
      <w:r>
        <w:t>Several limitations warrant consideration:</w:t>
      </w:r>
    </w:p>
    <w:p/>
    <w:p>
      <w:r>
        <w:t>Validation Scope: Framework validation was conducted on a focused panel of five well-characterized colorectal cancer biomarkers (MYC, CTNNB1, CCND1, TP53, KRAS), demonstrating 100% concordance with published literature. While this provides evidence of biological validity for this specific gene set, broader systematic benchmarking across larger gene panels and diverse disease contexts is needed to establish generalizability. The five-gene validation serves as proof-of-concept rather than comprehensive validation across the full spectrum of human genes and regulatory relationships.</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Perturbation Analysis: Our perturbation analysis ranks regulators based on network topology (connectivity, cascade overlap)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perturbation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Genes with low or uniform expression across cells will not appear in networks, potentially missing important regulators with constitutive low expression. Additionally, ARACNe identifies correlation-based associations that suggest regulation but do not confirm direct transcription factor binding. Chromatin immunoprecipitation (ChIP-seq) data could complement networks with binding-site information, though such data are not yet available at single-cell resolution across diverse cell types.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r>
        <w:t>---</w:t>
      </w:r>
    </w:p>
    <w:p/>
    <w:p>
      <w:pPr>
        <w:pStyle w:val="Heading2"/>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perturbation analysis correctly ranked experimentally validated TP53 regulators alongside novel candidates, demonstrating utility for hypothesis generation and experimental prioritization. The conversational interface via Model Context Protocol enables natural language queries without programming expertise. By integrating network analysis, perturbation simulation,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r>
        <w:t>---</w:t>
      </w:r>
    </w:p>
    <w:p/>
    <w:p>
      <w:pPr>
        <w:pStyle w:val="Heading2"/>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r>
        <w:t>---</w:t>
      </w:r>
    </w:p>
    <w:p/>
    <w:p>
      <w:pPr>
        <w:pStyle w:val="Heading2"/>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r>
        <w:t>---</w:t>
      </w:r>
    </w:p>
    <w:p/>
    <w:p>
      <w:pPr>
        <w:pStyle w:val="Heading2"/>
      </w:pPr>
      <w:r>
        <w:t>COMPETING INTERESTS</w:t>
      </w:r>
    </w:p>
    <w:p/>
    <w:p>
      <w:r>
        <w:t>The authors declare no competing interests.</w:t>
      </w:r>
    </w:p>
    <w:p/>
    <w:p>
      <w:r>
        <w:t>---</w:t>
      </w:r>
    </w:p>
    <w:p/>
    <w:p>
      <w:pPr>
        <w:pStyle w:val="Heading2"/>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Yates AD, Achuthan P, Akanni W, et al. Ensembl 2020. Nucleic Acids Res. 2020;48(D1):D682-D688.</w:t>
      </w:r>
    </w:p>
    <w:p/>
    <w:p>
      <w:r>
        <w:t>19. Gillespie M, Jassal B, Stephan R, et al. The reactome pathway knowledgebase 2022. Nucleic Acids Res. 2022;50(D1):D687-D692.</w:t>
      </w:r>
    </w:p>
    <w:p/>
    <w:p>
      <w:r>
        <w:t>20. Erisman MD, Rothberg PG, Diehl RE, Morse CC, Spandorfer JM, Astrin SM. Deregulation of c-myc gene expression in human colon carcinoma is not accompanied by amplification or rearrangement of the gene. Mol Cell Biol. 1985;5(8):1969-1976.</w:t>
      </w:r>
    </w:p>
    <w:p/>
    <w:p>
      <w:r>
        <w:t>21. Sears R, Nuckolls F, Haura E, Taya Y, Tamai K, Nevins JR. Multiple Ras-dependent phosphorylation pathways regulate Myc protein stability. Genes Dev. 2000;14(19):2501-2514.</w:t>
      </w:r>
    </w:p>
    <w:p/>
    <w:p>
      <w:r>
        <w:t>22. Morin PJ, Sparks AB, Korinek V, et al. Activation of beta-catenin-Tcf signaling in colon cancer by mutations in beta-catenin or APC. Science. 1997;275(5307):1787-1790.</w:t>
      </w:r>
    </w:p>
    <w:p/>
    <w:p>
      <w:r>
        <w:t>23. Segditsas S, Tomlinson I. Colorectal cancer and genetic alterations in the Wnt pathway. Oncogene. 2006;25(57):7531-7537.</w:t>
      </w:r>
    </w:p>
    <w:p/>
    <w:p>
      <w:r>
        <w:t>24. Bartkova J, Lukas J, Strauss M, Bartek J. Cyclin D1 oncoprotein aberrantly accumulates in malignancies of diverse histogenesis. Oncogene. 1995;10(4):775-778.</w:t>
      </w:r>
    </w:p>
    <w:p/>
    <w:p>
      <w:r>
        <w:t>25. Iacopetta B. TP53 mutation in colorectal cancer. Hum Mutat. 2003;21(3):271-276.</w:t>
      </w:r>
    </w:p>
    <w:p/>
    <w:p>
      <w:r>
        <w:t>26. Olivier M, Hollstein M, Hainaut P. TP53 mutations in human cancers: origins, consequences, and clinical use. Cold Spring Harb Perspect Biol. 2010;2(1):a001008.</w:t>
      </w:r>
    </w:p>
    <w:p/>
    <w:p>
      <w:r>
        <w:t>27. Lievre A, Bachet JB, Le Corre D, et al. KRAS mutation status is predictive of response to cetuximab therapy in colorectal cancer. Cancer Res. 2006;66(8):3992-3995.</w:t>
      </w:r>
    </w:p>
    <w:p/>
    <w:p>
      <w:r>
        <w:t>28. Karapetis CS, Khambata-Ford S, Jonker DJ, et al. K-ras mutations and benefit from cetuximab in advanced colorectal cancer. N Engl J Med. 2008;359(17):1757-1765.</w:t>
      </w:r>
    </w:p>
    <w:p/>
    <w:p>
      <w:r>
        <w:t>29. Sagnol S, Yang Y, Bessin Y, et al. Homodimerization of RBPMS2 through a new RRM-interaction motif is necessary to control smooth muscle plasticity. Nucleic Acids Res. 2014;42(15):10173-10184.</w:t>
      </w:r>
    </w:p>
    <w:p/>
    <w:p>
      <w:r>
        <w:t>30. Polo SE, Kaidi A, Baskcomb L, Galanty Y, Jackson SP. Regulation of DNA-damage responses and cell-cycle progression by the chromatin remodelling factor CHD4. EMBO J. 2010;29(18):3130-3139.</w:t>
      </w:r>
    </w:p>
    <w:p/>
    <w:p>
      <w:r>
        <w:t>31. Larsen DH, Poinsignon C, Gudjonsson T, et al. The chromatin-remodeling factor CHD4 coordinates signaling and repair after DNA damage. J Cell Biol. 2010;190(5):731-740.</w:t>
      </w:r>
    </w:p>
    <w:p/>
    <w:p>
      <w:r>
        <w:t>32. Smeenk G, Wiegant WW, Vrolijk H, et al. The NuRD chromatin-remodeling complex regulates signaling and repair of DNA damage. J Cell Biol. 2010;190(5):741-749.</w:t>
      </w:r>
    </w:p>
    <w:p/>
    <w:p>
      <w:r>
        <w:t>33. Strano S, Monti O, Pediconi N, et al. The transcriptional coactivator Yes-associated protein drives p73 gene-target specificity in response to DNA damage. Mol Cell. 2005;18(4):447-459.</w:t>
      </w:r>
    </w:p>
    <w:p/>
    <w:p>
      <w:r>
        <w:t>34. Levy D, Adamovich Y, Reuven N, Shaul Y. Yap1 phosphorylation by c-Abl is a critical step in selective activation of proapoptotic genes in response to DNA damage. Mol Cell. 2008;29(3):350-361.</w:t>
      </w:r>
    </w:p>
    <w:p/>
    <w:p>
      <w:r>
        <w:t>35. Shao DD, Xue W, Krall EB, et al. KRAS and YAP1 converge to regulate EMT and tumor survival. Cell. 2014;158(1):171-184.</w:t>
      </w:r>
    </w:p>
    <w:p/>
    <w:p>
      <w:r>
        <w:t>36. Zhou G, Soufan O, Ewald J, Hancock REW, Basu N, Xia J. NetworkAnalyst 3.0: a visual analytics platform for comprehensive gene expression profiling and meta-analysis. Nucleic Acids Res. 2019;47(W1):W234-W241.</w:t>
      </w:r>
    </w:p>
    <w:p/>
    <w:p>
      <w:r>
        <w:t>37. Liu A, Trairatphisan P, Gjerga E, et al. From expression footprints to causal pathways: contextualizing large signaling networks with CARNIVAL. NPJ Syst Biol Appl. 2019;5:40.</w:t>
      </w:r>
    </w:p>
    <w:p/>
    <w:p>
      <w:r>
        <w:t>38. Armingol E, Officer A, Harismendy O, Lewis NE. Deciphering cell-cell interactions and communication from gene expression. Nat Rev Genet. 2021;22(2):71-88.</w:t>
      </w:r>
    </w:p>
    <w:p/>
    <w:p>
      <w:r>
        <w:t>39. Zanconato F, Cordenonsi M, Piccolo S. YAP and TAZ: a signalling hub of the tumour microenvironment. Nat Rev Cancer. 2019;19(8):454-464.</w:t>
      </w:r>
    </w:p>
    <w:p/>
    <w:p>
      <w:r>
        <w:t>40. Zhao B, Tumaneng K, Guan KL. The Hippo pathway in organ size control, tissue regeneration and stem cell self-renewal. Nat Cell Biol. 2011;13(8):877-883.</w:t>
      </w:r>
    </w:p>
    <w:p/>
    <w:p>
      <w:r>
        <w:t>41. Dixit A, Parnas O, Li B, et al. Perturb-Seq: Dissecting molecular circuits with scalable single-cell RNA profiling of pooled genetic screens. Cell. 2016;167(7):1853-1866.e17.</w:t>
      </w:r>
    </w:p>
    <w:p/>
    <w:p>
      <w:r>
        <w:t>42. Hagberg AA, Schult DA, Swart PJ. Exploring network structure, dynamics, and function using NetworkX. Proceedings of the 7th Python in Science Conference (SciPy 2008); 2008. p. 11-15.</w:t>
      </w:r>
    </w:p>
    <w:p/>
    <w:p>
      <w:r>
        <w:t>43. Koschützki D, Schreiber F. Centrality analysis methods for biological networks and their application to gene regulatory networks. Gene Regulation and Systems Biology. 2008;2:GRSB.S702.</w:t>
      </w:r>
    </w:p>
    <w:p/>
    <w:p>
      <w:r>
        <w:t>44. Mora A, Donaldson IM. Effects of protein interaction data integration, representation and reliability on the use of network properties for drug target prediction. BMC Bioinformatics. 2021;22(1):1-29. doi:10.1186/s12859-021-04042-6</w:t>
      </w:r>
    </w:p>
    <w:p/>
    <w:p>
      <w:r>
        <w:t>---</w:t>
      </w:r>
    </w:p>
    <w:p/>
    <w:p>
      <w:pPr>
        <w:pStyle w:val="Heading2"/>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perturbation analysis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3. TP53 Perturbation Analysis and Therapeutic Target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perturbation analysis,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p>
      <w:r>
        <w:t>---</w:t>
      </w:r>
    </w:p>
    <w:p/>
    <w:p>
      <w:pPr>
        <w:pStyle w:val="Heading2"/>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w:t>
      </w:r>
    </w:p>
    <w:p/>
    <w:p>
      <w:pPr>
        <w:pStyle w:val="Heading2"/>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p>
      <w:r>
        <w:t>---</w:t>
      </w:r>
    </w:p>
    <w:p/>
    <w:p>
      <w:r>
        <w:t>END OF MANUSCRIPT</w:t>
      </w:r>
    </w:p>
    <w:p/>
    <w:p>
      <w:r>
        <w:t>Manuscript Statistics:</w:t>
      </w:r>
    </w:p>
    <w:p>
      <w:pPr>
        <w:pStyle w:val="ListBullet"/>
      </w:pPr>
      <w:r>
        <w:t>Words (excluding references): ~8,250</w:t>
      </w:r>
    </w:p>
    <w:p>
      <w:pPr>
        <w:pStyle w:val="ListBullet"/>
      </w:pPr>
      <w:r>
        <w:t>Figures: 4</w:t>
      </w:r>
    </w:p>
    <w:p>
      <w:pPr>
        <w:pStyle w:val="ListBullet"/>
      </w:pPr>
      <w:r>
        <w:t>Tables: 3</w:t>
      </w:r>
    </w:p>
    <w:p>
      <w:pPr>
        <w:pStyle w:val="ListBullet"/>
      </w:pPr>
      <w:r>
        <w:t>References: 44</w:t>
      </w:r>
    </w:p>
    <w:p>
      <w:pPr>
        <w:pStyle w:val="ListBullet"/>
      </w:pPr>
      <w:r>
        <w:t>Pages (estimated): 12-15 in typical journal format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