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~6 seconds (rule-based) vs ~45-62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(20,21); CTNNB1 mutations/dysregulation occur in 40-80% of CRCs via APC loss and Wnt activation (22,23); CCND1 overexpression occurs in 30-60% of CRCs and drives G1/S transition (24).</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(25,26).</w:t>
      </w:r>
    </w:p>
    <w:p/>
    <w:p>
      <w:r>
        <w:t>Predictive Biomarker (KRAS): Target gene with moderate clinical actionability. KRAS status predicts response to specific therapies (anti-EGFR antibodies). Literature validation: KRAS mutations occur in 40-45% of CRCs and confer resistance to cetuximab/panitumumab (27,28).</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(33,34). The high PageRank ranking identifies WWTR1 as a central network node, consistent with the established role of Hippo pathway components in regulating cell growth and tumor suppression (39,40). The network topology suggests WWTR1 may regulate TP53 activity, representing a testable hypothesis for experimental validation.</w:t>
      </w:r>
    </w:p>
    <w:p/>
    <w:p>
      <w:r>
        <w:t>RBPMS: RNA-binding protein with multiple splicing that shows the highest degree centrality among TP53 regulators (403 downstream targets). The related protein RBPMS2 has been implicated in smooth muscle plasticity and gene regulation (29),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Validation Scope: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Yates AD, Achuthan P, Akanni W, et al. Ensembl 2020. Nucleic Acids Res. 2020;48(D1):D682-D688.</w:t>
      </w:r>
    </w:p>
    <w:p/>
    <w:p>
      <w:r>
        <w:t>19. Gillespie M, Jassal B, Stephan R, et al. The reactome pathway knowledgebase 2022. Nucleic Acids Res. 2022;50(D1):D687-D692.</w:t>
      </w:r>
    </w:p>
    <w:p/>
    <w:p>
      <w:r>
        <w:t>20. Erisman MD, Rothberg PG, Diehl RE, Morse CC, Spandorfer JM, Astrin SM. Deregulation of c-myc gene expression in human colon carcinoma is not accompanied by amplification or rearrangement of the gene. Mol Cell Biol. 1985;5(8):1969-1976.</w:t>
      </w:r>
    </w:p>
    <w:p/>
    <w:p>
      <w:r>
        <w:t>21. Sears R, Nuckolls F, Haura E, Taya Y, Tamai K, Nevins JR. Multiple Ras-dependent phosphorylation pathways regulate Myc protein stability. Genes Dev. 2000;14(19):2501-2514.</w:t>
      </w:r>
    </w:p>
    <w:p/>
    <w:p>
      <w:r>
        <w:t>22. Morin PJ, Sparks AB, Korinek V, et al. Activation of beta-catenin-Tcf signaling in colon cancer by mutations in beta-catenin or APC. Science. 1997;275(5307):1787-1790.</w:t>
      </w:r>
    </w:p>
    <w:p/>
    <w:p>
      <w:r>
        <w:t>23. Segditsas S, Tomlinson I. Colorectal cancer and genetic alterations in the Wnt pathway. Oncogene. 2006;25(57):7531-7537.</w:t>
      </w:r>
    </w:p>
    <w:p/>
    <w:p>
      <w:r>
        <w:t>24. Bartkova J, Lukas J, Strauss M, Bartek J. Cyclin D1 oncoprotein aberrantly accumulates in malignancies of diverse histogenesis. Oncogene. 1995;10(4):775-778.</w:t>
      </w:r>
    </w:p>
    <w:p/>
    <w:p>
      <w:r>
        <w:t>25. Iacopetta B. TP53 mutation in colorectal cancer. Hum Mutat. 2003;21(3):271-276.</w:t>
      </w:r>
    </w:p>
    <w:p/>
    <w:p>
      <w:r>
        <w:t>26. Olivier M, Hollstein M, Hainaut P. TP53 mutations in human cancers: origins, consequences, and clinical use. Cold Spring Harb Perspect Biol. 2010;2(1):a001008.</w:t>
      </w:r>
    </w:p>
    <w:p/>
    <w:p>
      <w:r>
        <w:t>27. Lievre A, Bachet JB, Le Corre D, et al. KRAS mutation status is predictive of response to cetuximab therapy in colorectal cancer. Cancer Res. 2006;66(8):3992-3995.</w:t>
      </w:r>
    </w:p>
    <w:p/>
    <w:p>
      <w:r>
        <w:t>28. Karapetis CS, Khambata-Ford S, Jonker DJ, et al. K-ras mutations and benefit from cetuximab in advanced colorectal cancer. N Engl J Med. 2008;359(17):1757-1765.</w:t>
      </w:r>
    </w:p>
    <w:p/>
    <w:p>
      <w:r>
        <w:t>29. Sagnol S, Yang Y, Bessin Y, et al. Homodimerization of RBPMS2 through a new RRM-interaction motif is necessary to control smooth muscle plasticity. Nucleic Acids Res. 2014;42(15):10173-10184.</w:t>
      </w:r>
    </w:p>
    <w:p/>
    <w:p>
      <w:r>
        <w:t>30. Polo SE, Kaidi A, Baskcomb L, Galanty Y, Jackson SP. Regulation of DNA-damage responses and cell-cycle progression by the chromatin remodelling factor CHD4. EMBO J. 2010;29(18):3130-3139.</w:t>
      </w:r>
    </w:p>
    <w:p/>
    <w:p>
      <w:r>
        <w:t>31. Larsen DH, Poinsignon C, Gudjonsson T, et al. The chromatin-remodeling factor CHD4 coordinates signaling and repair after DNA damage. J Cell Biol. 2010;190(5):731-740.</w:t>
      </w:r>
    </w:p>
    <w:p/>
    <w:p>
      <w:r>
        <w:t>32. Smeenk G, Wiegant WW, Vrolijk H, et al. The NuRD chromatin-remodeling complex regulates signaling and repair of DNA damage. J Cell Biol. 2010;190(5):741-749.</w:t>
      </w:r>
    </w:p>
    <w:p/>
    <w:p>
      <w:r>
        <w:t>33. Strano S, Monti O, Pediconi N, et al. The transcriptional coactivator Yes-associated protein drives p73 gene-target specificity in response to DNA damage. Mol Cell. 2005;18(4):447-459.</w:t>
      </w:r>
    </w:p>
    <w:p/>
    <w:p>
      <w:r>
        <w:t>34. Levy D, Adamovich Y, Reuven N, Shaul Y. Yap1 phosphorylation by c-Abl is a critical step in selective activation of proapoptotic genes in response to DNA damage. Mol Cell. 2008;29(3):350-361.</w:t>
      </w:r>
    </w:p>
    <w:p/>
    <w:p>
      <w:r>
        <w:t>35. Shao DD, Xue W, Krall EB, et al. KRAS and YAP1 converge to regulate EMT and tumor survival. Cell. 2014;158(1):171-184.</w:t>
      </w:r>
    </w:p>
    <w:p/>
    <w:p>
      <w:r>
        <w:t>36. Zhou G, Soufan O, Ewald J, Hancock REW, Basu N, Xia J. NetworkAnalyst 3.0: a visual analytics platform for comprehensive gene expression profiling and meta-analysis. Nucleic Acids Res. 2019;47(W1):W234-W241.</w:t>
      </w:r>
    </w:p>
    <w:p/>
    <w:p>
      <w:r>
        <w:t>37. Liu A, Trairatphisan P, Gjerga E, et al. From expression footprints to causal pathways: contextualizing large signaling networks with CARNIVAL. NPJ Syst Biol Appl. 2019;5:40.</w:t>
      </w:r>
    </w:p>
    <w:p/>
    <w:p>
      <w:r>
        <w:t>38. Armingol E, Officer A, Harismendy O, Lewis NE. Deciphering cell-cell interactions and communication from gene expression. Nat Rev Genet. 2021;22(2):71-88.</w:t>
      </w:r>
    </w:p>
    <w:p/>
    <w:p>
      <w:r>
        <w:t>39. Zanconato F, Cordenonsi M, Piccolo S. YAP and TAZ: a signalling hub of the tumour microenvironment. Nat Rev Cancer. 2019;19(8):454-464.</w:t>
      </w:r>
    </w:p>
    <w:p/>
    <w:p>
      <w:r>
        <w:t>40. Zhao B, Tumaneng K, Guan KL. The Hippo pathway in organ size control, tissue regeneration and stem cell self-renewal. Nat Cell Biol. 2011;13(8):877-883.</w:t>
      </w:r>
    </w:p>
    <w:p/>
    <w:p>
      <w:r>
        <w:t>41. Dixit A, Parnas O, Li B, et al. Perturb-Seq: Dissecting molecular circuits with scalable single-cell RNA profiling of pooled genetic screens. Cell. 2016;167(7):1853-1866.e17.</w:t>
      </w:r>
    </w:p>
    <w:p/>
    <w:p>
      <w:r>
        <w:t>42. Hagberg AA, Schult DA, Swart PJ. Exploring network structure, dynamics, and function using NetworkX. Proceedings of the 7th Python in Science Conference (SciPy 2008); 2008. p. 11-15.</w:t>
      </w:r>
    </w:p>
    <w:p/>
    <w:p>
      <w:r>
        <w:t>43. Koschützki D, Schreiber F. Centrality analysis methods for biological networks and their application to gene regulatory networks. Gene Regulation and Systems Biology. 2008;2:GRSB.S702.</w:t>
      </w:r>
    </w:p>
    <w:p/>
    <w:p>
      <w:r>
        <w:t>44. 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