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pPr>
        <w:pStyle w:val="ListNumber"/>
      </w:pPr>
      <w:r>
        <w:t>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pPr>
        <w:pStyle w:val="ListNumber"/>
      </w:pPr>
      <w:r>
        <w:t>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pPr>
        <w:pStyle w:val="ListNumber"/>
      </w:pPr>
      <w:r>
        <w:t>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pPr>
        <w:pStyle w:val="ListNumber"/>
      </w:pPr>
      <w:r>
        <w:t>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~5 seconds per gene (4 agents in parallel, ~1.25s each) compared to rule-based mode. For 5-gene analysis: ~6 seconds (rule-based) vs ~20 seconds (LLM). Both modes remain orders of magnitude faster than manual literature review.</w:t>
      </w:r>
    </w:p>
    <w:p/>
    <w:p>
      <w:r>
        <w:t>LLM Reproducibility: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pPr>
        <w:pStyle w:val="ListNumber"/>
      </w:pPr>
      <w:r>
        <w:t>comprehensivegeneanalysis: Full workflow execution (network + regulators + targets + perturbation + pathways + domains)</w:t>
      </w:r>
    </w:p>
    <w:p>
      <w:pPr>
        <w:pStyle w:val="ListNumber"/>
      </w:pPr>
      <w:r>
        <w:t>multigeneanalysis: Parallel processing of multiple genes with comparative analysis</w:t>
      </w:r>
    </w:p>
    <w:p>
      <w:pPr>
        <w:pStyle w:val="ListNumber"/>
      </w:pPr>
      <w:r>
        <w:t>pathwayfocusedanalysis: Pathway enrichment for user-specified gene lists</w:t>
      </w:r>
    </w:p>
    <w:p>
      <w:pPr>
        <w:pStyle w:val="ListNumber"/>
      </w:pPr>
      <w:r>
        <w:t>analyze_regulators: Detailed upstream regulator analysis with perturbation</w:t>
      </w:r>
    </w:p>
    <w:p>
      <w:pPr>
        <w:pStyle w:val="ListNumber"/>
      </w:pPr>
      <w:r>
        <w:t>analyze_targets: Detailed downstream target analysis with cascade effects</w:t>
      </w:r>
    </w:p>
    <w:p>
      <w:pPr>
        <w:pStyle w:val="ListNumber"/>
      </w:pPr>
      <w:r>
        <w:t>crosscellcomparison: Regulatory role comparison across all 10 cell types</w:t>
      </w:r>
    </w:p>
    <w:p>
      <w:pPr>
        <w:pStyle w:val="ListNumber"/>
      </w:pPr>
      <w:r>
        <w:t>workflow_status: Real-time execution monitoring</w:t>
      </w:r>
    </w:p>
    <w:p>
      <w:pPr>
        <w:pStyle w:val="ListNumber"/>
      </w:pPr>
      <w:r>
        <w:t>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pPr>
        <w:pStyle w:val="ListNumber"/>
      </w:pPr>
      <w:r>
        <w:t>Single gene comprehensive analysis: TP53 in epithelial cells (all workflow steps)</w:t>
      </w:r>
    </w:p>
    <w:p>
      <w:pPr>
        <w:pStyle w:val="ListNumber"/>
      </w:pPr>
      <w:r>
        <w:t>Multi-gene analysis: 5 genes (MYC, CTNNB1, CCND1, TP53, KRAS) in epithelial cells</w:t>
      </w:r>
    </w:p>
    <w:p>
      <w:pPr>
        <w:pStyle w:val="ListNumber"/>
      </w:pPr>
      <w:r>
        <w:t>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(33,34). The high PageRank ranking identifies WWTR1 as a central network node, consistent with the established role of Hippo pathway components in regulating cell growth and tumor suppression (39,40). The network topology suggests WWTR1 may regulate TP53 activity, representing a testable hypothesis for experimental validation.</w:t>
      </w:r>
    </w:p>
    <w:p/>
    <w:p>
      <w:r>
        <w:t>RBPMS: RNA-binding protein with multiple splicing. The related protein RBPMS2 has been implicated in smooth muscle plasticity and gene regulation (29), though limited literature exists on RBPMS itself in cancer contexts. While RBPMS shows the highest degree centrality (most connections), direct TP53 regulation represents a testable hypothesis prioritized by network topology for experimental follow-up.</w:t>
      </w:r>
    </w:p>
    <w:p/>
    <w:p>
      <w:r>
        <w:t>PRRX2: Paired-related homeobox 2, a transcription factor with limited characterization in TP53 regulatory contexts. PRRX2's high PageRank despite moderate degree centrality reflects quality over quantity in network connections. Direct TP53 regulation by PRRX2 represents a novel hypothesis prioritized by network topology for experimental validation.</w:t>
      </w:r>
    </w:p>
    <w:p/>
    <w:p>
      <w:r>
        <w:t>This comparison demonstrates that topology-based ranking can: (1) recapitulate experimentally validated regulators (WWTR1 and YAP1 from Hippo pathway, CHD4 from chromatin remodeling complexes),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pPr>
        <w:pStyle w:val="ListNumber"/>
      </w:pPr>
      <w:r>
        <w:t>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pPr>
        <w:pStyle w:val="ListNumber"/>
      </w:pPr>
      <w:r>
        <w:t>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pPr>
        <w:pStyle w:val="ListNumber"/>
      </w:pPr>
      <w:r>
        <w:t>Regulation of TP53 Expression (FDR = 0.0033, 2/4 genes)</w:t>
      </w:r>
    </w:p>
    <w:p>
      <w:pPr>
        <w:pStyle w:val="ListNumber"/>
      </w:pPr>
      <w:r>
        <w:t>RUNX3 regulates YAP1-mediated transcription (FDR = 0.0084, 2/9 genes)</w:t>
      </w:r>
    </w:p>
    <w:p>
      <w:pPr>
        <w:pStyle w:val="ListNumber"/>
      </w:pPr>
      <w:r>
        <w:t>YAP1- and WWTR1 (TAZ)-stimulated gene expression (FDR = 0.020, 2/18 genes)</w:t>
      </w:r>
    </w:p>
    <w:p>
      <w:pPr>
        <w:pStyle w:val="ListNumber"/>
      </w:pPr>
      <w:r>
        <w:t>Transcriptional regulation by RUNX3 (FDR = 0.020, 3/108 genes)</w:t>
      </w:r>
    </w:p>
    <w:p>
      <w:pPr>
        <w:pStyle w:val="ListNumber"/>
      </w:pPr>
      <w:r>
        <w:t>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pPr>
        <w:pStyle w:val="ListNumber"/>
      </w:pPr>
      <w:r>
        <w:t>Validate hypotheses experimentally - Network predictions require experimental confirmation</w:t>
      </w:r>
    </w:p>
    <w:p>
      <w:pPr>
        <w:pStyle w:val="ListNumber"/>
      </w:pPr>
      <w:r>
        <w:t>Consult domain experts - Biological interpretations should be reviewed by specialists</w:t>
      </w:r>
    </w:p>
    <w:p>
      <w:pPr>
        <w:pStyle w:val="ListNumber"/>
      </w:pPr>
      <w:r>
        <w:t>Consider limitations - Topology-based analysis does not predict dynamic gene expression changes</w:t>
      </w:r>
    </w:p>
    <w:p>
      <w:pPr>
        <w:pStyle w:val="ListNumber"/>
      </w:pPr>
      <w:r>
        <w:t>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