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The framework integrates four specialized agents that operate in parallel, coordinate through a shared state, and fall back to deterministic rule-based logic when LLM output is uncertain.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 Multi-Agent LLM Systems for Scientific Workflow Automation</w:t>
      </w:r>
    </w:p>
    <w:p/>
    <w:p>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p>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democratizing access to sophisticated analytical methods.</w:t>
      </w:r>
    </w:p>
    <w:p/>
    <w:p>
      <w:r>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p>
      <w:pPr>
        <w:pStyle w:val="Heading3"/>
        <w:keepNext/>
      </w:pPr>
      <w:r>
        <w:t>Gene Regulatory Network Analysis as a Representative Scientific Workflow</w:t>
      </w:r>
    </w:p>
    <w:p/>
    <w:p>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exemplifies the workflow bottlenecks that multi-agent LLM systems can address. Researchers must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that align with broader scientific workflow challenges:</w:t>
      </w:r>
    </w:p>
    <w:p/>
    <w:p>
      <w:r>
        <w:t>1. Manual integration: Labor-intensive coordination across web interfaces, data export, and cross-domain synthesis for each gene analyzed</w:t>
      </w:r>
    </w:p>
    <w:p>
      <w:r>
        <w:t>2. Sequential processing: Limited scalability—analyzing multiple genes or comparing across cell types requires repeating the entire workflow</w:t>
      </w:r>
    </w:p>
    <w:p>
      <w:r>
        <w:t>3. Siloed expertise: Cancer relevance, drug development potential, clinical actionability, and systems-level effects analyzed separately rather than in an integrated framework</w:t>
      </w:r>
    </w:p>
    <w:p>
      <w:r>
        <w:t>4. Technical barriers: Lack of conversational interfaces necessitates programming expertise, limiting accessibility</w:t>
      </w:r>
    </w:p>
    <w:p/>
    <w:p>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p>
      <w:r>
        <w:t>Key AI systems contributions:</w:t>
      </w:r>
    </w:p>
    <w:p/>
    <w:p>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p>
      <w:r>
        <w:t>2. Reliable workflow automation: Graceful degradation from LLM-powered insights to rule-based logic when LLM output is unavailable, ensuring deterministic execution of core analytical tasks regardless of LLM availability</w:t>
      </w:r>
    </w:p>
    <w:p/>
    <w:p>
      <w:r>
        <w:t>3. Workflow orchestration via LangGraph: Graph-based state management enabling intelligent routing, parallel execution, and conditional branching across heterogeneous analysis components</w:t>
      </w:r>
    </w:p>
    <w:p/>
    <w:p>
      <w:r>
        <w:t>4. Conversational scientific computing via MCP: Natural language interface to computational workflows, eliminating programming barriers and enabling researchers to execute sophisticated analyses through dialogue</w:t>
      </w:r>
    </w:p>
    <w:p/>
    <w:p>
      <w:r>
        <w:t>5. Generalizability: Architecture designed for extension to other scientific domains—any workflow requiring (a) structured data retrieval, (b) algorithmic computation, (c) multi-domain interpretation, and (d) cross-domain synthesis can leverage this framework</w:t>
      </w:r>
    </w:p>
    <w:p/>
    <w:p>
      <w:r>
        <w:t>Validation through gene regulatory network analysis: We demonstrate the framework on a well-characterized colorectal cancer biomarker panel (MYC, CTNNB1, CCND1, TP53, KRAS), showing the system recapitulates literature-confirmed regulatory relationships and generates testable 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RELATED WORK</w:t>
      </w:r>
    </w:p>
    <w:p/>
    <w:p>
      <w:pPr>
        <w:pStyle w:val="Heading3"/>
        <w:keepNext/>
      </w:pPr>
      <w:r>
        <w:t>Multi-Agent LLM Systems</w:t>
      </w:r>
    </w:p>
    <w:p/>
    <w:p>
      <w:r>
        <w:t>The emergence of large language models has catalyzed rapid development of autonomous multi-agent systems. AutoGPT (18) pioneered accessible autonomous agents by enabling LLMs to execute tasks iteratively with minimal human intervention, demonstrating the potential for autonomous problem-solving but lacking specialized domain coordination. CAMEL (19) introduced communicative agents with role-playing frameworks for task decomposition and multi-agent collaboration, while MetaGPT (20) implemented software development workflows with specialized agent roles (product manager, architect, engineer) coordinated through standardized operating procedures. CrewAI (21) provides a Python framework for orchestrating role-playing autonomous agents that collaborate as cohesive crews, emphasizing task delegation and collaborative intelligence.</w:t>
      </w:r>
    </w:p>
    <w:p/>
    <w:p>
      <w:r>
        <w:t>These general-purpose multi-agent frameworks share a common architecture: LLM-powered agents with specialized roles, inter-agent communication protocols, and workflow orchestration for complex task completion. However, they exhibit three key limitations for scientific workflows: (1) Reliability: Pure LLM-based execution is non-deterministic, making reproducibility challenging for scientific applications where consistent outputs are critical; (2) Performance: LLM inference latency (multiple seconds per agent interaction) compounds across multi-step workflows, hindering time-sensitive analyses; (3) Transparency: Lack of fallback mechanisms means failures in LLM generation can halt entire workflows without providing deterministic alternatives.</w:t>
      </w:r>
    </w:p>
    <w:p/>
    <w:p>
      <w:pPr>
        <w:pStyle w:val="Heading3"/>
        <w:keepNext/>
      </w:pPr>
      <w:r>
        <w:t>Workflow Orchestration Frameworks</w:t>
      </w:r>
    </w:p>
    <w:p/>
    <w:p>
      <w:r>
        <w:t>LangChain and LangGraph (12) provide foundational infrastructure for LLM application development and stateful multi-agent workflows. LangGraph specifically enables directed acyclic graph (DAG) based workflow orchestration with conditional routing, state management, and parallel execution—capabilities RegNetAgents leverages for coordinating specialized analysis agents. However, these frameworks are application-neutral and do not address domain-specific challenges in scientific computing, particularly the need for hybrid LLM+deterministic execution patterns.</w:t>
      </w:r>
    </w:p>
    <w:p/>
    <w:p>
      <w:pPr>
        <w:pStyle w:val="Heading3"/>
        <w:keepNext/>
      </w:pPr>
      <w:r>
        <w:t>AI Systems for Scientific Discovery</w:t>
      </w:r>
    </w:p>
    <w:p/>
    <w:p>
      <w:r>
        <w:t>Recent AI systems have demonstrated potential for accelerating scientific discovery through LLM-powered reasoning and knowledge synthesis. Galactica (22) was trained on 48 million scientific articles, textbooks, and encyclopedias to organize scientific knowledge and assist with literature synthesis, though it was designed for knowledge retrieval rather than workflow automation. BioGPT (23) provides a domain-specific generative transformer for biomedical text generation and mining, pre-trained on biomedical literature to enhance performance on biomedical NLP tasks like question answering and relation extraction. These systems excel at knowledge synthesis and text generation but do not address multi-step analytical workflows requiring integration of computational tools, databases, and algorithmic analyses.</w:t>
      </w:r>
    </w:p>
    <w:p/>
    <w:p>
      <w:r>
        <w:t>More recently, fully autonomous scientific discovery systems have emerged, such as The AI Scientist (24), which attempts to conduct research independently including hypothesis generation, experimentation, and paper writing. However, these systems remain exploratory and face challenges in reliability, reproducibility, and integration with existing research infrastructure.</w:t>
      </w:r>
    </w:p>
    <w:p/>
    <w:p>
      <w:pPr>
        <w:pStyle w:val="Heading3"/>
        <w:keepNext/>
      </w:pPr>
      <w:r>
        <w:t>RegNetAgents' Contribution</w:t>
      </w:r>
    </w:p>
    <w:p/>
    <w:p>
      <w:r>
        <w:t>RegNetAgents addresses the reliability, performance, and scientific workflow integration gaps in existing multi-agent systems through three key innovations:</w:t>
      </w:r>
    </w:p>
    <w:p/>
    <w:p>
      <w:r>
        <w:t>1. Hybrid LLM+Deterministic Architecture: Unlike pure LLM-based agents (AutoGPT, CAMEL, MetaGPT), RegNetAgents implements graceful degradation to rule-based computation for core analytical tasks (network topology analysis, pathway enrichment, centrality-based ranking). This ensures deterministic, reproducible execution of scientific computations while retaining LLM-powered domain interpretation when available.</w:t>
      </w:r>
    </w:p>
    <w:p/>
    <w:p>
      <w:r>
        <w:t>2. Scientific Workflow Optimization: While general-purpose frameworks (CrewAI, LangGraph) provide orchestration primitives, RegNetAgents specializes these for scientific analysis patterns—parallel domain-specific interpretation, data provenance tracking, statistical validation, and structured output formatting designed for experimental validation workflows.</w:t>
      </w:r>
    </w:p>
    <w:p/>
    <w:p>
      <w:r>
        <w:t>3. Real-World Scientific Data Integration: Unlike knowledge synthesis systems (Galactica, BioGPT), RegNetAgents integrates directly with computational biology infrastructure: pre-computed gene regulatory networks (ARACNe), pathway databases (Reactome API), and gene annotation resources (NCBI, UniProt). This enables actionable hypothesis generation with quantitative metrics (PageRank-based target prioritization) rather than text-based knowledge retrieval.</w:t>
      </w:r>
    </w:p>
    <w:p/>
    <w:p>
      <w:r>
        <w:t>By combining LangGraph's workflow orchestration with domain-specific hybrid execution and scientific data integration, RegNetAgents demonstrates how multi-agent LLM systems can be adapted for reliable, reproducible scientific workflow automation.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(25).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(26)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(27)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(28).</w:t>
      </w:r>
    </w:p>
    <w:p/>
    <w:p>
      <w:r>
        <w:t>Ranking and Interpretation:</w:t>
      </w:r>
    </w:p>
    <w:p>
      <w:r>
        <w:t>Regulators are ranked by PageRank (primary), as this metric was identified as the best predictor of successful drug targets in protein interaction networks (29).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(29).</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(34).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(34).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(43),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(47), while CARNIVAL infers causal networks from perturbation data (48).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Significant Gravitas. AutoGPT: An Autonomous GPT-4 Experiment. GitHub. https://github.com/Significant-Gravitas/AutoGPT</w:t>
      </w:r>
    </w:p>
    <w:p/>
    <w:p>
      <w:r>
        <w:t>19. Li G, Hammoud HAA, Itani H, Khizbullin D, Ghanem B. CAMEL: Communicative Agents for "Mind" Exploration of Large Language Model Society. Proceedings of the 37th Conference on Neural Information Processing Systems; 2023.</w:t>
      </w:r>
    </w:p>
    <w:p/>
    <w:p>
      <w:r>
        <w:t>20. Hong S, Zhuge M, Chen J, et al. MetaGPT: Meta Programming for A Multi-Agent Collaborative Framework. arXiv. 2023. arXiv:2308.00352</w:t>
      </w:r>
    </w:p>
    <w:p/>
    <w:p>
      <w:r>
        <w:t>21. Moura J. CrewAI: Framework for orchestrating role-playing, autonomous AI agents. GitHub. https://github.com/crewAIInc/crewAI</w:t>
      </w:r>
    </w:p>
    <w:p/>
    <w:p>
      <w:r>
        <w:t>22. Taylor R, Kardas M, Cucurull G, et al. Galactica: A Large Language Model for Science. arXiv. 2022. arXiv:2211.09085</w:t>
      </w:r>
    </w:p>
    <w:p/>
    <w:p>
      <w:r>
        <w:t>23. Luo R, Sun L, Xia Y, et al. BioGPT: generative pre-trained transformer for biomedical text generation and mining. Brief Bioinform. 2022;23(6):bbac409. doi:10.1093/bib/bbac409</w:t>
      </w:r>
    </w:p>
    <w:p/>
    <w:p>
      <w:r>
        <w:t>24. Lu C, Lu C, Lange RT, et al. The AI Scientist: Towards Fully Automated Open-Ended Scientific Discovery. arXiv. 2024. arXiv:2408.06292</w:t>
      </w:r>
    </w:p>
    <w:p/>
    <w:p>
      <w:r>
        <w:t>25. Gillespie M, Jassal B, Stephan R, et al. The reactome pathway knowledgebase 2022. Nucleic Acids Res. 2022;50(D1):D687-D692.</w:t>
      </w:r>
    </w:p>
    <w:p/>
    <w:p>
      <w:r>
        <w:t>26. Yates AD, Achuthan P, Akanni W, et al. Ensembl 2020. Nucleic Acids Res. 2020;48(D1):D682-D688.</w:t>
      </w:r>
    </w:p>
    <w:p/>
    <w:p>
      <w:r>
        <w:t>27. Hagberg AA, Schult DA, Swart PJ. Exploring network structure, dynamics, and function using NetworkX. Proceedings of the 7th Python in Science Conference (SciPy 2008); 2008. p. 11-15.</w:t>
      </w:r>
    </w:p>
    <w:p/>
    <w:p>
      <w:r>
        <w:t>28. Koschützki D, Schreiber F. Centrality analysis methods for biological networks and their application to gene regulatory networks. Gene Regulation and Systems Biology. 2008;2:GRSB.S702.</w:t>
      </w:r>
    </w:p>
    <w:p/>
    <w:p>
      <w:r>
        <w:t>29. Mora A, Donaldson IM. Effects of protein interaction data integration, representation and reliability on the use of network properties for drug target prediction. BMC Bioinformatics. 2021;22(1):1-29. doi:10.1186/s12859-021-04042-6</w:t>
      </w:r>
    </w:p>
    <w:p/>
    <w:p>
      <w:r>
        <w:t>30. Erisman MD, Rothberg PG, Diehl RE, Morse CC, Spandorfer JM, Astrin SM. Deregulation of c-myc gene expression in human colon carcinoma is not accompanied by amplification or rearrangement of the gene. Mol Cell Biol. 1985;5(8):1969-1976.</w:t>
      </w:r>
    </w:p>
    <w:p/>
    <w:p>
      <w:r>
        <w:t>31. Sears R, Nuckolls F, Haura E, Taya Y, Tamai K, Nevins JR. Multiple Ras-dependent phosphorylation pathways regulate Myc protein stability. Genes Dev. 2000;14(26):2501-2514.</w:t>
      </w:r>
    </w:p>
    <w:p/>
    <w:p>
      <w:r>
        <w:t>32. Morin PJ, Sparks AB, Korinek V, et al. Activation of beta-catenin-Tcf signaling in colon cancer by mutations in beta-catenin or APC. Science. 1997;275(5307):1787-1790.</w:t>
      </w:r>
    </w:p>
    <w:p/>
    <w:p>
      <w:r>
        <w:t>33. Segditsas S, Tomlinson I. Colorectal cancer and genetic alterations in the Wnt pathway. Oncogene. 2006;25(57):7531-7537.</w:t>
      </w:r>
    </w:p>
    <w:p/>
    <w:p>
      <w:r>
        <w:t>34. Bartkova J, Lukas J, Strauss M, Bartek J. Cyclin D1 oncoprotein aberrantly accumulates in malignancies of diverse histogenesis. Oncogene. 1995;10(4):775-778.</w:t>
      </w:r>
    </w:p>
    <w:p/>
    <w:p>
      <w:r>
        <w:t>35. Iacopetta B. TP53 mutation in colorectal cancer. Hum Mutat. 2003;21(3):271-276.</w:t>
      </w:r>
    </w:p>
    <w:p/>
    <w:p>
      <w:r>
        <w:t>36. Olivier M, Hollstein M, Hainaut P. TP53 mutations in human cancers: origins, consequences, and clinical use. Cold Spring Harb Perspect Biol. 2010;2(1):a001008.</w:t>
      </w:r>
    </w:p>
    <w:p/>
    <w:p>
      <w:r>
        <w:t>37. Lievre A, Bachet JB, Le Corre D, et al. KRAS mutation status is predictive of response to cetuximab therapy in colorectal cancer. Cancer Res. 2006;66(8):3992-3995.</w:t>
      </w:r>
    </w:p>
    <w:p/>
    <w:p>
      <w:r>
        <w:t>38. Karapetis CS, Khambata-Ford S, Jonker DJ, et al. K-ras mutations and benefit from cetuximab in advanced colorectal cancer. N Engl J Med. 2008;359(17):1757-1765.</w:t>
      </w:r>
    </w:p>
    <w:p/>
    <w:p>
      <w:r>
        <w:t>39. Strano S, Monti O, Pediconi N, et al. The transcriptional coactivator Yes-associated protein drives p73 gene-target specificity in response to DNA damage. Mol Cell. 2005;18(4):447-459.</w:t>
      </w:r>
    </w:p>
    <w:p/>
    <w:p>
      <w:r>
        <w:t>40. Levy D, Adamovich Y, Reuven N, Shaul Y. Yap1 phosphorylation by c-Abl is a critical step in selective activation of proapoptotic genes in response to DNA damage. Mol Cell. 2008;29(3):350-361.</w:t>
      </w:r>
    </w:p>
    <w:p/>
    <w:p>
      <w:r>
        <w:t>41. Zanconato F, Cordenonsi M, Piccolo S. YAP and TAZ: a signalling hub of the tumour microenvironment. Nat Rev Cancer. 2019;19(8):454-464.</w:t>
      </w:r>
    </w:p>
    <w:p/>
    <w:p>
      <w:r>
        <w:t>42. Zhao B, Tumaneng K, Guan KL. The Hippo pathway in organ size control, tissue regeneration and stem cell self-renewal. Nat Cell Biol. 2011;13(8):877-883.</w:t>
      </w:r>
    </w:p>
    <w:p/>
    <w:p>
      <w:r>
        <w:t>43. Sagnol S, Yang Y, Bessin Y, et al. Homodimerization of RBPMS2 through a new RRM-interaction motif is necessary to control smooth muscle plasticity. Nucleic Acids Res. 2014;42(15):10173-10184.</w:t>
      </w:r>
    </w:p>
    <w:p/>
    <w:p>
      <w:r>
        <w:t>44. Polo SE, Kaidi A, Baskcomb L, Galanty Y, Jackson SP. Regulation of DNA-damage responses and cell-cycle progression by the chromatin remodelling factor CHD4. EMBO J. 2010;29(25):3130-3139.</w:t>
      </w:r>
    </w:p>
    <w:p/>
    <w:p>
      <w:r>
        <w:t>45. Larsen DH, Poinsignon C, Gudjonsson T, et al. The chromatin-remodeling factor CHD4 coordinates signaling and repair after DNA damage. J Cell Biol. 2010;190(5):731-740.</w:t>
      </w:r>
    </w:p>
    <w:p/>
    <w:p>
      <w:r>
        <w:t>46. Smeenk G, Wiegant WW, Vrolijk H, et al. The NuRD chromatin-remodeling complex regulates signaling and repair of DNA damage. J Cell Biol. 2010;190(5):741-749.</w:t>
      </w:r>
    </w:p>
    <w:p/>
    <w:p>
      <w:r>
        <w:t>47. Zhou G, Soufan O, Ewald J, Hancock REW, Basu N, Xia J. NetworkAnalyst 3.0: a visual analytics platform for comprehensive gene expression profiling and meta-analysis. Nucleic Acids Res. 2019;47(W1):W234-W241.</w:t>
      </w:r>
    </w:p>
    <w:p/>
    <w:p>
      <w:r>
        <w:t>48. Liu A, Trairatphisan P, Gjerga E, et al. From expression footprints to causal pathways: contextualizing large signaling networks with CARNIVAL. NPJ Syst Biol Appl. 2019;5:40.</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