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SUPPLEMENTARY MATERIAL</w:t>
      </w:r>
    </w:p>
    <w:p/>
    <w:p>
      <w:pPr>
        <w:pStyle w:val="Heading2"/>
        <w:keepNext/>
      </w:pPr>
      <w:r>
        <w:t>RegNetAgents: A Multi-Agent AI Framework for Automated Gene Regulatory Network Analysis and Therapeutic Target Prioritization</w:t>
      </w:r>
    </w:p>
    <w:p/>
    <w:p>
      <w:r>
        <w:t>Authors: Jose A. Bird, PhD</w:t>
      </w:r>
    </w:p>
    <w:p/>
    <w:p>
      <w:r>
        <w:t>Affiliation: Bird AI Solutions</w:t>
      </w:r>
    </w:p>
    <w:p/>
    <w:p>
      <w:pPr>
        <w:pStyle w:val="Heading2"/>
        <w:keepNext/>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Pr>
        <w:pStyle w:val="ListBullet"/>
      </w:pPr>
      <w:r>
        <w:t>Notes on Prompt Engineering</w:t>
      </w:r>
    </w:p>
    <w:p>
      <w:pPr>
        <w:pStyle w:val="ListBullet"/>
      </w:pPr>
      <w:r>
        <w:t>Table S2: Cervical Cancer Gene Validation</w:t>
      </w:r>
    </w:p>
    <w:p>
      <w:pPr>
        <w:pStyle w:val="ListBullet"/>
      </w:pPr>
      <w:r>
        <w:t>Reproducibility Notes</w:t>
      </w:r>
    </w:p>
    <w:p/>
    <w:p>
      <w:pPr>
        <w:pStyle w:val="Heading2"/>
        <w:keepNext/>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`{regulator_count}`, `{target_count}`: Cascade analysis results</w:t>
      </w:r>
    </w:p>
    <w:p>
      <w:pPr>
        <w:pStyle w:val="ListBullet"/>
      </w:pPr>
      <w:r>
        <w:t>`{tissue_context}`: Cross-cell-type activity</w:t>
      </w:r>
    </w:p>
    <w:p>
      <w:pPr>
        <w:pStyle w:val="ListBullet"/>
      </w:pPr>
      <w:r>
        <w:t>`{pagerank}`: PageRank centrality score</w:t>
      </w:r>
    </w:p>
    <w:p/>
    <w:p>
      <w:pPr>
        <w:pStyle w:val="Heading3"/>
        <w:keepNext/>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in-degree={num_regulators}, out-degree={num_targets}</w:t>
      </w:r>
    </w:p>
    <w:p/>
    <w:p>
      <w:r>
        <w:t>Enriched Pathways: {enriched_pathways}</w:t>
      </w:r>
    </w:p>
    <w:p/>
    <w:p>
      <w:r>
        <w:t>Provide a cancer biology analysis in this EXACT JSON format:</w:t>
      </w:r>
    </w:p>
    <w:p/>
    <w:p>
      <w:r>
        <w:t>{ "oncogenic_potential": "high|moderate|low", "oncogenic_rationale": "brief scientific explanation based on network topology and cancer biology", "tumor_suppressor_likelihood": "high|moderate|low", "tumor_suppressor_rationale": "brief scientific explanation", "therapeutic_target_score": 0.0-1.0, "therapeutic_rationale": "explanation of druggability and therapeutic potential", "cancer_pathways": ["pathway1", "pathway2"], "biomarker_potential": "high|moderate|low", "biomarker_utility": "diagnostic|prognostic|predictive", "biomarker_rationale": "explanation", "research_priority":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"oncogenic_potential": "high", "oncogenic_rationale": "TP53 acts as a hub regulator with 163 downstream targets, indicating strong regulatory influence characteristic of oncogenes when dysregulated.", "tumor_suppressor_likelihood": "high", "tumor_suppressor_rationale": "Heavily regulated by 7 upstream factors, consistent with checkpoint function.", "therapeutic_target_score": 0.8, "llm_powered": true }</w:t>
      </w:r>
    </w:p>
    <w:p/>
    <w:p>
      <w:r>
        <w:br w:type="page"/>
      </w:r>
    </w:p>
    <w:p/>
    <w:p>
      <w:pPr>
        <w:pStyle w:val="Heading3"/>
        <w:keepNext/>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"druggability_score": 0.0-1.0, "druggability_rationale": "explanation of druggability based on structure and network", "target_class": "kinase|GPCR|transcription_factor|nuclear_receptor|other", "intervention_strategy": "inhibition|activation|modulation|allosteric", "intervention_rationale": "why this strategy is appropriate", "development_complexity": "high|moderate|low", "cascade_effects": ["effect1", "effect2"], "clinical_trial_readiness": "ready|needs_preclinical|needs_research|not_suitable",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pPr>
        <w:pStyle w:val="Heading3"/>
        <w:keepNext/>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"disease_association_likelihood": "high|moderate|low", "disease_rationale": "brief explanation of disease relevance", "biomarker_utility": "diagnostic|prognostic|predictive|therapeutic", "biomarker_rationale": "brief explanation of biomarker potential", "clinical_actionability": "high|moderate|low", "actionability_rationale": "brief explanation of clinical utility", "tissue_specificity": "tissue-specific|broadly_expressed|ubiquitous", "diagnostic_potential":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pPr>
        <w:pStyle w:val="Heading3"/>
        <w:keepNext/>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{num_regulators} (total in cascade: {reg_count})</w:t>
      </w:r>
    </w:p>
    <w:p>
      <w:pPr>
        <w:pStyle w:val="ListBullet"/>
      </w:pPr>
      <w:r>
        <w:t>Downstream Targets: {num_targets} (total in cascade: {target_count})</w:t>
      </w:r>
    </w:p>
    <w:p>
      <w:pPr>
        <w:pStyle w:val="ListBullet"/>
      </w:pPr>
      <w:r>
        <w:t>PageRank Centrality: {pagerank}</w:t>
      </w:r>
    </w:p>
    <w:p>
      <w:pPr>
        <w:pStyle w:val="ListBullet"/>
      </w:pPr>
      <w:r>
        <w:t>Total Network Degree: {num_regulators + num_targets}</w:t>
      </w:r>
    </w:p>
    <w:p/>
    <w:p>
      <w:r>
        <w:br w:type="page"/>
      </w:r>
    </w:p>
    <w:p/>
    <w:p>
      <w:r>
        <w:t>Provide a systems biology analysis in this EXACT JSON format:</w:t>
      </w:r>
    </w:p>
    <w:p/>
    <w:p>
      <w:r>
        <w:t>{ "network_centrality": 0.0-1.0, "centrality_rationale": "brief explanation of network position", "regulatory_hierarchy": "master|hub|intermediate|peripheral", "hierarchy_rationale": "brief explanation of hierarchical position", "information_flow": "high|moderate|low", "flow_rationale": "brief explanation of information processing", "network_vulnerability": "critical|important|moderate|minimal", "vulnerability_rationale": "brief explanation of network impact", "therapeutic_impact": "system-wide|modular|localized|minimal", "therapeutic_rationale": "brief explanation of knockout/intervention effects", "evolutionary_conservation": "high|moderate|low", "conservation_rationale":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therapeutic intervention</w:t>
      </w:r>
    </w:p>
    <w:p>
      <w:pPr>
        <w:pStyle w:val="ListBullet"/>
      </w:pPr>
      <w:r>
        <w:t>Evolutionary conservation inferred from network position</w:t>
      </w:r>
    </w:p>
    <w:p/>
    <w:p>
      <w:r>
        <w:t>Provide only the JSON, no additional text.</w:t>
      </w:r>
    </w:p>
    <w:p/>
    <w:p>
      <w:pPr>
        <w:pStyle w:val="Heading2"/>
        <w:keepNext/>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pPr>
        <w:pStyle w:val="Heading2"/>
        <w:keepNext/>
      </w:pPr>
      <w:r>
        <w:t>Table S2: Cervical Cancer Gene Validation</w:t>
      </w:r>
    </w:p>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 LLM-powered domain analysis correctly classified TP53 and MYC as tumor suppressors with high therapeutic potential, while BRCA1/BRCA2 were identified as high-priority targets for DNA repair pathway intervention, consistent with established cancer biology. Pathway enrichment analysis further validated these findings: WWTR1 (TAZ) appears in TP53's most significantly enriched pathways (YAP1/WWTR1-stimulated gene expression, Hippo signaling), while BRCA1/BRCA2 showed enrichment for TP53-mediated DNA repair pathways, confirming the mechanistic coherence of the regulatory network predictions.</w:t>
      </w:r>
    </w:p>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p/>
    <w:p>
      <w:r>
        <w:br w:type="page"/>
      </w:r>
    </w:p>
    <w:p/>
    <w:p>
      <w:pPr>
        <w:keepNext/>
      </w:pPr>
      <w:r>
        <w:t>Table S2. Cervical Cancer Gene Validation Results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BRCA1</w:t>
            </w:r>
          </w:p>
        </w:tc>
        <w:tc>
          <w:tcPr>
            <w:tcW w:type="dxa" w:w="1872"/>
          </w:tcPr>
          <w:p>
            <w:r>
              <w:t>Heavily Regulated</w:t>
            </w:r>
          </w:p>
        </w:tc>
        <w:tc>
          <w:tcPr>
            <w:tcW w:type="dxa" w:w="1872"/>
          </w:tcPr>
          <w:p>
            <w:r>
              <w:t>0</w:t>
            </w:r>
          </w:p>
        </w:tc>
        <w:tc>
          <w:tcPr>
            <w:tcW w:type="dxa" w:w="1872"/>
          </w:tcPr>
          <w:p>
            <w:r>
              <w:t>23</w:t>
            </w:r>
          </w:p>
        </w:tc>
        <w:tc>
          <w:tcPr>
            <w:tcW w:type="dxa" w:w="1872"/>
          </w:tcPr>
          <w:p>
            <w:r>
              <w:t>ZNF334 (0.723)</w:t>
            </w:r>
          </w:p>
        </w:tc>
      </w:tr>
      <w:tr>
        <w:tc>
          <w:tcPr>
            <w:tcW w:type="dxa" w:w="1872"/>
          </w:tcPr>
          <w:p>
            <w:r>
              <w:t>BRCA2</w:t>
            </w:r>
          </w:p>
        </w:tc>
        <w:tc>
          <w:tcPr>
            <w:tcW w:type="dxa" w:w="1872"/>
          </w:tcPr>
          <w:p>
            <w:r>
              <w:t>Heavily Regulated</w:t>
            </w:r>
          </w:p>
        </w:tc>
        <w:tc>
          <w:tcPr>
            <w:tcW w:type="dxa" w:w="1872"/>
          </w:tcPr>
          <w:p>
            <w:r>
              <w:t>0</w:t>
            </w:r>
          </w:p>
        </w:tc>
        <w:tc>
          <w:tcPr>
            <w:tcW w:type="dxa" w:w="1872"/>
          </w:tcPr>
          <w:p>
            <w:r>
              <w:t>20</w:t>
            </w:r>
          </w:p>
        </w:tc>
        <w:tc>
          <w:tcPr>
            <w:tcW w:type="dxa" w:w="1872"/>
          </w:tcPr>
          <w:p>
            <w:r>
              <w:t>HMGB2 (0.510)</w:t>
            </w:r>
          </w:p>
        </w:tc>
      </w:tr>
      <w:tr>
        <w:tc>
          <w:tcPr>
            <w:tcW w:type="dxa" w:w="1872"/>
          </w:tcPr>
          <w:p>
            <w:r>
              <w:t>EGFR</w:t>
            </w:r>
          </w:p>
        </w:tc>
        <w:tc>
          <w:tcPr>
            <w:tcW w:type="dxa" w:w="1872"/>
          </w:tcPr>
          <w:p>
            <w:r>
              <w:t>Heavily Regulated</w:t>
            </w:r>
          </w:p>
        </w:tc>
        <w:tc>
          <w:tcPr>
            <w:tcW w:type="dxa" w:w="1872"/>
          </w:tcPr>
          <w:p>
            <w:r>
              <w:t>0</w:t>
            </w:r>
          </w:p>
        </w:tc>
        <w:tc>
          <w:tcPr>
            <w:tcW w:type="dxa" w:w="1872"/>
          </w:tcPr>
          <w:p>
            <w:r>
              <w:t>37</w:t>
            </w:r>
          </w:p>
        </w:tc>
        <w:tc>
          <w:tcPr>
            <w:tcW w:type="dxa" w:w="1872"/>
          </w:tcPr>
          <w:p>
            <w:r>
              <w:t>HMGB2 (0.510)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69 seconds for all 7 genes.</w:t>
      </w:r>
    </w:p>
    <w:p/>
    <w:p>
      <w:pPr>
        <w:pStyle w:val="Heading2"/>
        <w:keepNext/>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USE_LLM_AGENTS=true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(`USE_LLM_AGENTS=false`). Network metrics (PageRank, degree centrality) are deterministic and fully reproducible across all runs.</w:t>
      </w:r>
    </w:p>
    <w:p/>
    <w:p>
      <w:r>
        <w:t>Code Availability:</w:t>
      </w:r>
    </w:p>
    <w:p>
      <w:r>
        <w:t>Complete implementation available at: https://github.com/jab57/RegNetAgents</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