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Built on the LangGraph orchestration framework, the system integrates four specialized agents that operate in parallel, coordinate through a shared state graph, and fall back to deterministic rule-based logic when LLM output is unavailable.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p>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adapts these for scientific reproducibility requirements: parallel execution of specialized domain agents (cancer biology, drug discovery, clinical relevance, systems biology), quantitative validation (p-values, FDR corrections, centrality metrics), and structured output formatting for experimental validation. This specialization transforms generic agent coordination into reproducible scientific pipelines.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the pathway over-enrichment that occurs with large gene sets.</w:t>
      </w:r>
    </w:p>
    <w:p/>
    <w:p>
      <w:r>
        <w:t>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Note: These thresholds apply only to rule-based mode, not LLM mode.</w:t>
      </w:r>
    </w:p>
    <w:p/>
    <w:p>
      <w:pPr>
        <w:pStyle w:val="ListBullet"/>
      </w:pPr>
      <w:r>
        <w:t>Cancer Biology Agent: Oncogenic potential (&gt;20 targets = high, &gt;5 = moderate, ≤5 = low); tumor suppressor likelihood (&gt;15 regulators = high, &gt;5 = moderate, ≤5 = low).</w:t>
      </w:r>
    </w:p>
    <w:p>
      <w:pPr>
        <w:pStyle w:val="ListBullet"/>
      </w:pPr>
      <w:r>
        <w:t>Drug Development Agent: Intervention strategy (&gt;15 targets = inhibition candidate, &gt;10 regulators = activation candidate); development complexity (&gt;20 targets = high off-target risk, &gt;5 = moderate, ≤5 = low).</w:t>
      </w:r>
    </w:p>
    <w:p>
      <w:pPr>
        <w:pStyle w:val="ListBullet"/>
      </w:pPr>
      <w:r>
        <w:t>Clinical Relevance Agent: Biomarker utility (heavily_regulated role = diagnostic, hub_regulator role = prognostic, other roles = predictive); disease association likelihood (&gt;15 regulators = high, &gt;5 = moderate, ≤5 = low); clinical actionability (&gt;10 regulators + hub/heavily-regulated role = high).</w:t>
      </w:r>
    </w:p>
    <w:p/>
    <w:p>
      <w:r>
        <w:t>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3"/>
        <w:keepNext/>
      </w:pPr>
      <w:r>
        <w:t>AI Assistance Statement</w:t>
      </w:r>
    </w:p>
    <w:p/>
    <w:p>
      <w:r>
        <w:t>This work was developed with substantial assistance from Claude Code (Anthropic), a large language model-based coding assistant. The LLM contributed to software implementation, architecture design, code debugging, and manuscript drafting. The author directed all work, made scientific decisions, designed validation experiments, and takes full responsibility for the content and conclusions.</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and "Comprehensive" modes emphasize different analytical priorities: Focused mode prioritizes pathway enrichment (requires Reactome API call with variable latency 0.3-1.5s), while Comprehensive mode prioritizes complete regulator ranking using pre-computed PageRank indices (instant). Both complete in under 1 second due to efficient caching; timing differences reflect Reactome API latency variation rather than computational complexity.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(32,33).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(39-42)</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(44-46)</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(39-42)</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multi-agent architecture, performed validation studies, and wrote the manuscript.</w:t>
      </w:r>
    </w:p>
    <w:p/>
    <w:p/>
    <w:p/>
    <w:p>
      <w:pPr>
        <w:pStyle w:val="Heading2"/>
        <w:keepNext/>
      </w:pPr>
      <w:r>
        <w:t>COMPETING INTERESTS</w:t>
      </w:r>
    </w:p>
    <w:p/>
    <w:p>
      <w:r>
        <w:t>The authors declare no competing interests.</w:t>
      </w:r>
    </w:p>
    <w:p/>
    <w:p/>
    <w:p/>
    <w:p>
      <w:r>
        <w:br w:type="page"/>
      </w:r>
    </w:p>
    <w:p/>
    <w:p>
      <w:pPr>
        <w:pStyle w:val="Heading2"/>
        <w:keepNext/>
      </w:pPr>
      <w:r>
        <w:t>REFERENCES</w:t>
      </w:r>
    </w:p>
    <w:p/>
    <w:p>
      <w:r>
        <w:t>1. Wooldridge M. An Introduction to MultiAgent Systems. 2nd ed. Wiley; 2009.</w:t>
      </w:r>
    </w:p>
    <w:p/>
    <w:p>
      <w:r>
        <w:t>2. LangGraph Documentation. LangChain AI. https://langchain-ai.github.io/langgraph/</w:t>
      </w:r>
    </w:p>
    <w:p/>
    <w:p>
      <w:r>
        <w:t>3. Anthropic. Model Context Protocol Documentation. https://modelcontextprotocol.io</w:t>
      </w:r>
    </w:p>
    <w:p/>
    <w:p>
      <w:r>
        <w:t>4. Babu MM, Luscombe NM, Aravind L, Gerstein M, Teichmann SA. Structure and evolution of transcriptional regulatory networks. Curr Opin Struct Biol. 2004;14(3):283-291.</w:t>
      </w:r>
    </w:p>
    <w:p/>
    <w:p>
      <w:r>
        <w:t>5. Davidson EH, Levine MS. Properties of developmental gene regulatory networks. Proc Natl Acad Sci USA. 2008;105(51):20063-20066.</w:t>
      </w:r>
    </w:p>
    <w:p/>
    <w:p>
      <w:r>
        <w:t>6. Califano A, Alvarez MJ. The recurrent architecture of tumour initiation, progression and drug sensitivity. Nat Rev Cancer. 2017;17(2):116-130.</w:t>
      </w:r>
    </w:p>
    <w:p/>
    <w:p>
      <w:r>
        <w:t>7. Sonawane AR, Platig J, Fagny M, et al. Understanding tissue-specific gene regulation. Cell Rep. 2017;21(4):1077-1088.</w:t>
      </w:r>
    </w:p>
    <w:p/>
    <w:p>
      <w:r>
        <w:t>8. Aibar S, González-Blas CB, Moerman T, et al. SCENIC: single-cell regulatory network inference and clustering. Nat Methods. 2017;14(11):1083-1086.</w:t>
      </w:r>
    </w:p>
    <w:p/>
    <w:p>
      <w:r>
        <w:t>9. Kamimoto K, Stringa B, Hoffmann CM, et al. Dissecting cell identity via network inference and in silico gene perturbation. Nature. 2023;614(7949):742-751.</w:t>
      </w:r>
    </w:p>
    <w:p/>
    <w:p>
      <w:r>
        <w:t>10. Szklarczyk D, Gable AL, Nastou KC, et al. The STRING database in 2021: customizable protein-protein networks, and functional characterization of user-uploaded gene/measurement sets. Nucleic Acids Res. 2021;49(D1):D605-D612.</w:t>
      </w:r>
    </w:p>
    <w:p/>
    <w:p>
      <w:r>
        <w:t>11. Oughtred R, Rust J, Chang C, et al. The BioGRID database: A comprehensive biomedical resource of curated protein, genetic, and chemical interactions. Protein Sci. 2021;30(1):187-200.</w:t>
      </w:r>
    </w:p>
    <w:p/>
    <w:p>
      <w:r>
        <w:t>12. Chen EY, Tan CM, Kou Y, et al. Enrichr: interactive and collaborative HTML5 gene list enrichment analysis tool. BMC Bioinformatics. 2013;14:128.</w:t>
      </w:r>
    </w:p>
    <w:p/>
    <w:p>
      <w:r>
        <w:t>13. Sherman BT, Hao M, Qiu J, et al. DAVID: a web server for functional enrichment analysis and functional annotation of gene lists (2021 update). Nucleic Acids Res. 2022;50(W1):W216-W221.</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pPr>
        <w:pStyle w:val="Heading2"/>
        <w:keepNext/>
      </w:pPr>
      <w:r>
        <w:t>FIGURE LEGENDS</w:t>
      </w:r>
    </w:p>
    <w:p/>
    <w:p>
      <w:r>
        <w:t>Figure 1. RegNetAgents Multi-Agent Architecture.</w:t>
      </w:r>
    </w:p>
    <w:p>
      <w:r>
        <w:t>Workflow schematic showing the LangGraph-orchestrated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