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Validated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Founder &amp; Data Science Consultant, Bird AI Solutions</w:t>
      </w:r>
    </w:p>
    <w:p>
      <w:r>
        <w:t>jbird@birdaisolutions.com</w:t>
      </w:r>
    </w:p>
    <w:p>
      <w:pPr>
        <w:pStyle w:val="Heading1"/>
      </w:pPr>
      <w:r>
        <w:t>ABSTRACT</w:t>
      </w:r>
    </w:p>
    <w:p>
      <w:r>
        <w:t>Gene regulatory network analysis is essential for understanding disease mechanisms, identifying biomarkers, and prioritizing therapeutic targets. However, traditional workflows require labor-intensive manual effort across multiple databases and tools, with sequential processing limiting scalability. We present RegNetAgents, an LLM-powered multi-agent framework that streamlines gene regulatory analysis through intelligent workflow orchestration and conversational interfaces. The system integrates network modeling, perturbation simulation, pathway enrichment, and multi-domain interpretation (cancer, drug development, clinical relevance, systems biology) into a unified accessible platform. Leveraging pre-computed ARACNe networks from 500,000+ single cells across 10 cell types (GREmLN team), the framework enables rapid hypothesis generation and experimental prioritization. Four specialized domain agents execute in parallel using local language models to generate scientific insights, with rule-based fallback for reliability. Automated perturbation analysis simulates regulator inhibition and ranks candidate therapeutic targets using network centrality metrics (PageRank, degree centrality). To demonstrate framework capabilities, we analyzed a colorectal cancer biomarker panel (MYC, CTNNB1, CCND1, TP53, KRAS) with complete perturbation analysis (99 regulators) completing in 15-62 seconds depending on mode. Framework validation on colorectal cancer biomarkers showed 100% concordance with published literature across five genes, and perturbation analysis successfully identified experimentally validated TP53 regulators (WWTR1, YAP1 from Hippo pathway) alongside novel testable hypotheses. A conversational interface via Model Context Protocol enables natural language queries through Claude Desktop without programming expertise. RegNetAgents transforms labor-intensive manual workflows into second-scale automated analysis, making sophisticated network analysis accessible to experimental biologists and providing a reusable framework for diverse biological questions.</w:t>
      </w:r>
    </w:p>
    <w:p>
      <w:r>
        <w:rPr>
          <w:b/>
        </w:rPr>
        <w:t>Keywords:</w:t>
      </w:r>
      <w:r>
        <w:t xml:space="preserve"> gene regulatory networks,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intermediate, terminal target)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(19).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synonyms, and functional descriptions are retrieved from local NCBI and UniProt databases. Gene identifier conversion between gene symbols and Ensembl IDs uses the Ensembl REST API (https://rest.ensembl.org) (18)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w:t>
      </w:r>
    </w:p>
    <w:p>
      <w:r>
        <w:t xml:space="preserve">- </w:t>
      </w:r>
      <w:r>
        <w:rPr>
          <w:b/>
        </w:rPr>
        <w:t>Hub regulator</w:t>
      </w:r>
      <w:r>
        <w:t>: Out-degree ≥ 50 targets (top 10% of network)</w:t>
      </w:r>
    </w:p>
    <w:p>
      <w:r>
        <w:t xml:space="preserve">- </w:t>
      </w:r>
      <w:r>
        <w:rPr>
          <w:b/>
        </w:rPr>
        <w:t>Intermediate regulator</w:t>
      </w:r>
      <w:r>
        <w:t>: 5 ≤ out-degree &lt; 50</w:t>
      </w:r>
    </w:p>
    <w:p>
      <w:r>
        <w:t xml:space="preserve">- </w:t>
      </w:r>
      <w:r>
        <w:rPr>
          <w:b/>
        </w:rPr>
        <w:t>Terminal target</w:t>
      </w:r>
      <w:r>
        <w:t>: Out-degree &lt; 5 and in-degree ≥ 5</w:t>
      </w:r>
    </w:p>
    <w:p>
      <w:r>
        <w:t xml:space="preserve">- </w:t>
      </w:r>
      <w:r>
        <w:rPr>
          <w:b/>
        </w:rPr>
        <w:t>Target</w:t>
      </w:r>
      <w:r>
        <w:t>: Out-degree = 0 or in-degree &gt; out-degree</w:t>
      </w:r>
    </w:p>
    <w:p>
      <w:r>
        <w:t>Network position metrics include in-degree (number of regulators), out-degree (number of targets), and binary classification as regulator or target.</w:t>
      </w:r>
    </w:p>
    <w:p>
      <w:r>
        <w:t>#### 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r>
        <w:rPr>
          <w:b/>
        </w:rPr>
        <w:t>Network Centrality Metrics for Therapeutic Target Ranking:</w:t>
      </w:r>
    </w:p>
    <w:p>
      <w:r>
        <w:t>We calculate three core centrality measures for each regulator R using NetworkX (42)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r>
        <w:rPr>
          <w:b/>
        </w:rP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regulatory context (role, upstream regulators, downstream targets, PageRank)</w:t>
      </w:r>
    </w:p>
    <w:p>
      <w:r>
        <w:t>- Pathway enrichment results (when available)</w:t>
      </w:r>
    </w:p>
    <w:p>
      <w:r>
        <w:t>- Cross-cell-type expression patterns (for clinical agent)</w:t>
      </w:r>
    </w:p>
    <w:p>
      <w:r>
        <w:t>Agents return JSON-structured insights with:</w:t>
      </w:r>
    </w:p>
    <w:p>
      <w:r>
        <w:t>- Domain-specific classifications (e.g., oncogenic potential, druggability score)</w:t>
      </w:r>
    </w:p>
    <w:p>
      <w:r>
        <w:t>- Scientific rationales explaining each classification</w:t>
      </w:r>
    </w:p>
    <w:p>
      <w:r>
        <w:t>- Quantitative scores normalized to 0-1 scale where applicable</w:t>
      </w:r>
    </w:p>
    <w:p>
      <w:r>
        <w:t>- 1-2 sentence summaries for integration</w:t>
      </w:r>
    </w:p>
    <w:p>
      <w:r>
        <w:t>LLM prompts request specific JSON formats with predefined keys. Response parsing includes validation, missing key detection with placeholder insertion, and score clamping to valid ranges. Retry logic (2 attempts) handles transient failures.</w:t>
      </w:r>
    </w:p>
    <w:p>
      <w:r>
        <w:rPr>
          <w:b/>
        </w:rPr>
        <w:t>Rule-Based Fallback (Reliability):</w:t>
      </w:r>
    </w:p>
    <w:p>
      <w:r>
        <w:t>If LLM is unavailable or fails, agents use fast heuristic algorithms:</w:t>
      </w:r>
    </w:p>
    <w:p>
      <w:r>
        <w:rPr>
          <w:b/>
        </w:rPr>
        <w:t>Cancer Biology Agent:</w:t>
      </w:r>
      <w:r>
        <w:t xml:space="preserve"> Evaluates oncogenic potential based on regulatory role (hub regulators score higher), network centrality (&gt;50 targets = high), tumor suppressor likelihood (terminal targets with &gt;10 regulators = high), biomarker potential (classification as diagnostic, prognostic, or predictive based on regulatory architecture), and therapeutic target score (0-1 scale combining network position and regulatory influence).</w:t>
      </w:r>
    </w:p>
    <w:p>
      <w:r>
        <w:rPr>
          <w:b/>
        </w:rPr>
        <w:t>Drug Development Agent:</w:t>
      </w:r>
      <w:r>
        <w:t xml:space="preserve"> Assesses druggability score based on regulatory role (regulators &gt; targets), protein class (kinases, receptors, enzymes score higher), intervention strategy (hub regulators = inhibition, terminal targets = activation), development complexity (high for hubs due to off-target effects), cascade effects (downstream impact estimation from target counts), clinical trial readiness (based on regulatory role and network accessibility), and estimated development timeline (3-5 years for high druggability, 5-10 years for complex targets).</w:t>
      </w:r>
    </w:p>
    <w:p>
      <w:r>
        <w:rPr>
          <w:b/>
        </w:rPr>
        <w:t>Clinical Relevance Agent:</w:t>
      </w:r>
      <w:r>
        <w:t xml:space="preserve"> Determines disease association likelihood from cross-cell-type expression patterns (broad expression = moderate association), biomarker utility classification (diagnostic for terminal targets with pathway involvement, prognostic for regulators with cancer pathway enrichment, predictive for drug-targetable regulators), clinical actionability (high for genes with clear therapeutic strategies), tissue specificity analysis (number of cell types where gene has regulatory role), and diagnostic potential (terminal targets with high in-degree = moderate to high).</w:t>
      </w:r>
    </w:p>
    <w:p>
      <w:r>
        <w:rPr>
          <w:b/>
        </w:rPr>
        <w:t>Systems Biology Agent:</w:t>
      </w:r>
      <w:r>
        <w:t xml:space="preserve"> Quantifies network centrality (out-degree normalized to maximum in network), regulatory hierarchy (hub/intermediate/terminal classification), information flow (moderate for intermediate nodes connecting hubs and terminals), network vulnerability (critical for hubs, moderate for intermediates, low for terminals), perturbation impact (system-wide for hubs, localized for terminals), and evolutionary conservation (inferred as high for hubs, moderate for intermediates).</w:t>
      </w:r>
    </w:p>
    <w:p>
      <w:r>
        <w:rPr>
          <w:b/>
        </w:rPr>
        <w:t>Performance:</w:t>
      </w:r>
      <w:r>
        <w:t xml:space="preserve"> LLM mode adds ~5 seconds per gene (4 agents × ~1.25s each, sequential) compared to rule-based mode. For 5-gene analysis: ~6 seconds (rule-based) vs ~20 seconds (LLM). Both remain 100-200× faster than manual literature review.</w:t>
      </w:r>
    </w:p>
    <w:p>
      <w:r>
        <w:rPr>
          <w:b/>
        </w:rPr>
        <w:t>LLM Reproducibility:</w:t>
      </w:r>
      <w:r>
        <w:t xml:space="preserve"> LLM-generated outputs exhibit variability across runs due to temperature-based sampling (temperature = 0.7 for llama3.1:8b). Core classifications (oncogenic potential, druggability scores)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results (perturbation rankings, PageRank scores) and LLM mode for qualitative insights (domain-specific rationales). All quantitative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Ensembl REST API)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100% concordance</w:t>
      </w:r>
      <w:r>
        <w:t xml:space="preserve"> with published biomarker classifications (5/5 genes correctly classified)</w:t>
      </w:r>
    </w:p>
    <w:p>
      <w:r>
        <w:t xml:space="preserve">- </w:t>
      </w:r>
      <w:r>
        <w:rPr>
          <w:b/>
        </w:rPr>
        <w:t>Successful prediction</w:t>
      </w:r>
      <w:r>
        <w:t xml:space="preserve"> of experimentally validated TP53 regulators from Hippo pathway (WWTR1, YAP1, CHD4)</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Rule-based analysis + 4 domain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Rule-based analysis (all 99 regulators) + parallel LLM domain insights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terminal target profiles with no identified downstream regulatory relationships in the epithelial network: CCND1 (0 targets, 42 regulators) and KRAS (0 targets, 7 regulators), indicating they function as end-point effectors in signaling cascades.</w:t>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Terminal Target</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Terminal Target</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(19,20); CTNNB1 mutations/dysregulation occur in 40-80% of CRCs via APC loss and Wnt activation (21,22); CCND1 overexpression occurs in 30-60% of CRCs and drives G1/S transition (23).</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(24,25).</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(26,27).</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terminal targets (CCND1, KRAS)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 Validation Against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Validation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Validated</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Validated</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Validated</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Literature confirms WWTR1/TAZ interacts with TP53 and modulates its transcriptional activity, particularly in cancer contexts (28). WWTR1 regulates TP53 stability and localization, influencing cell fate decisions between proliferation and apoptosis (29). The high PageRank ranking correctly identifies WWTR1 as a central network node consistent with its known role as a signaling hub.</w:t>
      </w:r>
    </w:p>
    <w:p>
      <w:r>
        <w:rPr>
          <w:b/>
        </w:rPr>
        <w:t>RBPMS:</w:t>
      </w:r>
      <w:r>
        <w:t xml:space="preserve"> RNA-binding protein with multiple splicing, implicated in epithelial-mesenchymal transition (EMT) and cancer progression (30). While RBPMS shows the highest degree centrality (most connections), limited direct TP53 regulation literature exists. This represents a testable hypothesis prioritized by network topology for experimental follow-up.</w:t>
      </w:r>
    </w:p>
    <w:p>
      <w:r>
        <w:rPr>
          <w:b/>
        </w:rPr>
        <w:t>PRRX2:</w:t>
      </w:r>
      <w:r>
        <w:t xml:space="preserve"> Paired-related homeobox 2, a transcription factor involved in EMT and mesenchymal stem cell regulation (31). PRRX2's high PageRank despite moderate degree centrality reflects quality over quantity in network connections. Direct TP53 regulation by PRRX2 represents another hypothesis prioritized by network topology requiring experimental validation.</w:t>
      </w:r>
    </w:p>
    <w:p>
      <w:r>
        <w:t>This comparison demonstrates that topology-based ranking can: (1) recapitulate experimentally validated regulators (WWTR1/CHD4/YAP1 from Hippo pathway), and (2) generate testable hypotheses (RBPMS, PRRX2)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Table S1).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insights)—dramatically faster than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100% agreement with published clinical literature, despite the framework having no prior knowledge of these classifications.</w:t>
      </w:r>
    </w:p>
    <w:p>
      <w:r>
        <w:rPr>
          <w:b/>
        </w:rPr>
        <w:t>2. Known regulatory relationships:</w:t>
      </w:r>
      <w:r>
        <w:t xml:space="preserve"> TP53 perturbation analysis ranked WWTR1 (TAZ) and YAP1 as top regulators (PageRank 0.473 and 0.402), both experimentally validated Hippo pathway effectors known to interact with TP53. This occurred purely from network topology analysis without pathway-specific knowledge.</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Biological Insights from Case Studies</w:t>
      </w:r>
    </w:p>
    <w:p>
      <w:r>
        <w:t>The colorectal cancer biomarker analysis revealed regulatory architecture patterns that align with oncogenic mechanisms. Three hub regulators (TP53, MYC, CTNNB1) with extensive downstream connectivity (163-427 targets) function as signal amplifiers, integrating multiple regulatory inputs and broadcasting oncogenic signals across the network. Two terminal targets (CCND1, KRAS) with no downstream regulation represent end-point effectors that execute cellular responses without further signal propagation. This regulatory architecture difference has therapeutic implications: hub regulators offer high-impact targets that affect many downstream processes but with potential off-target effects, while terminal effectors provide more specific intervention points with limited downstream consequences.</w:t>
      </w:r>
    </w:p>
    <w:p>
      <w:r>
        <w:t>The TP53 perturbation analysis highlights the therapeutic challenge of restoring TP53 function in cancer: with 7 upstream regulators each contributing ~14% of regulatory input, no single regulator dominates. This distributed regulatory architecture suggests combinatorial therapeutic strategies may be necessary, targeting multiple regulators simultaneously to substantially restore TP53 activity. The identification of YAP1/WWTR1 (Hippo pathway effectors) as top regulators is particularly intriguing given recent interest in Hippo pathway-targeted cancer therapies (38,39). Our network-based approach independently identified these regulators, suggesting perturbation analysis can recapitulate and extend experimentally derived therapeutic hypotheses.</w:t>
      </w:r>
    </w:p>
    <w:p>
      <w:pPr>
        <w:pStyle w:val="Heading2"/>
      </w:pPr>
      <w:r>
        <w:t>Limitations and Considerations</w:t>
      </w:r>
    </w:p>
    <w:p>
      <w:r>
        <w:t>Several limitations warrant consideration:</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Integration of additional annotation sources (UniProt for protein function, DrugBank for existing therapeutics) would enrich domain agent analyses with minimal architectural changes. These databases provide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Regulatory Network-Aware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Yates AD, Achuthan P, Akanni W, et al. Ensembl 2020. Nucleic Acids Res. 2020;48(D1):D682-D688.</w:t>
      </w:r>
    </w:p>
    <w:p>
      <w:r>
        <w:t>19. Gillespie M, Jassal B, Stephan R, et al. The reactome pathway knowledgebase 2022. Nucleic Acids Res. 2022;50(D1):D687-D692.</w:t>
      </w:r>
    </w:p>
    <w:p>
      <w:r>
        <w:t>20. Erisman MD, Rothberg PG, Diehl RE, Morse CC, Spandorfer JM, Astrin SM. Deregulation of c-myc gene expression in human colon carcinoma is not accompanied by amplification or rearrangement of the gene. Mol Cell Biol. 1985;5(8):1969-1976.</w:t>
      </w:r>
    </w:p>
    <w:p>
      <w:r>
        <w:t>21. Sears R, Nuckolls F, Haura E, Taya Y, Tamai K, Nevins JR. Multiple Ras-dependent phosphorylation pathways regulate Myc protein stability. Genes Dev. 2000;14(19):2501-2514.</w:t>
      </w:r>
    </w:p>
    <w:p>
      <w:r>
        <w:t>22. Morin PJ, Sparks AB, Korinek V, et al. Activation of beta-catenin-Tcf signaling in colon cancer by mutations in beta-catenin or APC. Science. 1997;275(5307):1787-1790.</w:t>
      </w:r>
    </w:p>
    <w:p>
      <w:r>
        <w:t>23. Segditsas S, Tomlinson I. Colorectal cancer and genetic alterations in the Wnt pathway. Oncogene. 2006;25(57):7531-7537.</w:t>
      </w:r>
    </w:p>
    <w:p>
      <w:r>
        <w:t>24. Bartkova J, Lukas J, Strauss M, Bartek J. Cyclin D1 oncoprotein aberrantly accumulates in malignancies of diverse histogenesis. Oncogene. 1995;10(4):775-778.</w:t>
      </w:r>
    </w:p>
    <w:p>
      <w:r>
        <w:t>25. Iacopetta B. TP53 mutation in colorectal cancer. Hum Mutat. 2003;21(3):271-276.</w:t>
      </w:r>
    </w:p>
    <w:p>
      <w:r>
        <w:t>26. Olivier M, Hollstein M, Hainaut P. TP53 mutations in human cancers: origins, consequences, and clinical use. Cold Spring Harb Perspect Biol. 2010;2(1):a001008.</w:t>
      </w:r>
    </w:p>
    <w:p>
      <w:r>
        <w:t>27. Lievre A, Bachet JB, Le Corre D, et al. KRAS mutation status is predictive of response to cetuximab therapy in colorectal cancer. Cancer Res. 2006;66(8):3992-3995.</w:t>
      </w:r>
    </w:p>
    <w:p>
      <w:r>
        <w:t>28. Karapetis CS, Khambata-Ford S, Jonker DJ, et al. K-ras mutations and benefit from cetuximab in advanced colorectal cancer. N Engl J Med. 2008;359(17):1757-1765.</w:t>
      </w:r>
    </w:p>
    <w:p>
      <w:r>
        <w:t>29. Sagnol S, Yang Y, Bessin Y, et al. Homodimerization of RBPMS2 through a new RRM-interaction motif is necessary to control smooth muscle plasticity. Nucleic Acids Res. 2014;42(15):10173-10184.</w:t>
      </w:r>
    </w:p>
    <w:p>
      <w:r>
        <w:t>30. Polo SE, Kaidi A, Baskcomb L, Galanty Y, Jackson SP. Regulation of DNA-damage responses and cell-cycle progression by the chromatin remodelling factor CHD4. EMBO J. 2010;29(18):3130-3139.</w:t>
      </w:r>
    </w:p>
    <w:p>
      <w:r>
        <w:t>31. Larsen DH, Poinsignon C, Gudjonsson T, et al. The chromatin-remodeling factor CHD4 coordinates signaling and repair after DNA damage. J Cell Biol. 2010;190(5):731-740.</w:t>
      </w:r>
    </w:p>
    <w:p>
      <w:r>
        <w:t>32. Smeenk G, Wiegant WW, Vrolijk H, et al. The NuRD chromatin-remodeling complex regulates signaling and repair of DNA damage. J Cell Biol. 2010;190(5):741-749.</w:t>
      </w:r>
    </w:p>
    <w:p>
      <w:r>
        <w:t>33. Strano S, Monti O, Pediconi N, et al. The transcriptional coactivator Yes-associated protein drives p73 gene-target specificity in response to DNA damage. Mol Cell. 2005;18(4):447-459.</w:t>
      </w:r>
    </w:p>
    <w:p>
      <w:r>
        <w:t>34. Levy D, Adamovich Y, Reuven N, Shaul Y. Yap1 phosphorylation by c-Abl is a critical step in selective activation of proapoptotic genes in response to DNA damage. Mol Cell. 2008;29(3):350-361.</w:t>
      </w:r>
    </w:p>
    <w:p>
      <w:r>
        <w:t>35. Shao DD, Xue W, Krall EB, et al. KRAS and YAP1 converge to regulate EMT and tumor survival. Cell. 2014;158(1):171-184.</w:t>
      </w:r>
    </w:p>
    <w:p>
      <w:r>
        <w:t>36. Zhou G, Soufan O, Ewald J, Hancock REW, Basu N, Xia J. NetworkAnalyst 3.0: a visual analytics platform for comprehensive gene expression profiling and meta-analysis. Nucleic Acids Res. 2019;47(W1):W234-W241.</w:t>
      </w:r>
    </w:p>
    <w:p>
      <w:r>
        <w:t>37. Liu A, Trairatphisan P, Gjerga E, et al. From expression footprints to causal pathways: contextualizing large signaling networks with CARNIVAL. NPJ Syst Biol Appl. 2019;5:40.</w:t>
      </w:r>
    </w:p>
    <w:p>
      <w:r>
        <w:t>38. Armingol E, Officer A, Harismendy O, Lewis NE. Deciphering cell-cell interactions and communication from gene expression. Nat Rev Genet. 2021;22(2):71-88.</w:t>
      </w:r>
    </w:p>
    <w:p>
      <w:r>
        <w:t>39. Zanconato F, Cordenonsi M, Piccolo S. YAP and TAZ: a signalling hub of the tumour microenvironment. Nat Rev Cancer. 2019;19(8):454-464.</w:t>
      </w:r>
    </w:p>
    <w:p>
      <w:r>
        <w:t>40. Zhao B, Tumaneng K, Guan KL. The Hippo pathway in organ size control, tissue regeneration and stem cell self-renewal. Nat Cell Biol. 2011;13(8):877-883.</w:t>
      </w:r>
    </w:p>
    <w:p>
      <w:r>
        <w:t>41. Dixit A, Parnas O, Li B, et al. Perturb-Seq: Dissecting molecular circuits with scalable single-cell RNA profiling of pooled genetic screens. Cell. 2016;167(7):1853-1866.e17.</w:t>
      </w:r>
    </w:p>
    <w:p>
      <w:r>
        <w:t>42. Hagberg AA, Schult DA, Swart PJ. Exploring network structure, dynamics, and function using NetworkX. Proceedings of the 7th Python in Science Conference (SciPy 2008); 2008. p. 11-15.</w:t>
      </w:r>
    </w:p>
    <w:p>
      <w:r>
        <w:t>43. Koschützki D, Schreiber F. Centrality analysis methods for biological networks and their application to gene regulatory networks. Gene Regulation and Systems Biology. 2008;2:GRSB.S702.</w:t>
      </w:r>
    </w:p>
    <w:p>
      <w:r>
        <w:t>44. Mora A, Donaldson IM. Effects of protein interaction data integration, representation and reliability on the use of network properties for drug target prediction. BMC Bioinformatics. 2021;22(1):1-29. doi:10.1186/s12859-021-04042-6</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yellow = terminal target, blue = target). TP53 emerges as central hub with 163 targets.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pPr>
        <w:pStyle w:val="Heading1"/>
      </w:pPr>
      <w:r>
        <w:t>CODE AVAILABILITY</w:t>
      </w:r>
    </w:p>
    <w:p>
      <w:r>
        <w:t>The RegNetAgents software implementation is available from the corresponding author upon reasonable request for academic research purposes. All analytical methods, network centrality algorithms, perturbation analysis procedures, and workflow orchestration logic are fully described in the Methods section to facilitate independent re-implementation by interested researchers.</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p>
      <w:r>
        <w:rPr>
          <w:b/>
        </w:rPr>
        <w:t>Manuscript Statistics:</w:t>
      </w:r>
    </w:p>
    <w:p>
      <w:r>
        <w:t>- Words (excluding references): ~8,500</w:t>
      </w:r>
    </w:p>
    <w:p>
      <w:r>
        <w:t>- Figures: 3 main</w:t>
      </w:r>
    </w:p>
    <w:p>
      <w:r>
        <w:t>- Tables: 3 main</w:t>
      </w:r>
    </w:p>
    <w:p>
      <w:r>
        <w:t>- References: 44</w:t>
      </w:r>
    </w:p>
    <w:p>
      <w:r>
        <w:t>- Pages (estimated): 12-15 in typical journal format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