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RegNetAgents: A Validated Multi-Agent AI Framework for Automated Gene Regulatory Network Analysis and Therapeutic Target Prioritization</w:t>
      </w:r>
    </w:p>
    <w:p/>
    <w:p>
      <w:r>
        <w:t>Running Title: Multi-Agent Gene Regulatory Network Analysis</w:t>
      </w:r>
    </w:p>
    <w:p/>
    <w:p>
      <w:r>
        <w:t>---</w:t>
      </w:r>
    </w:p>
    <w:p/>
    <w:p>
      <w:pPr>
        <w:pStyle w:val="Heading2"/>
      </w:pPr>
      <w:r>
        <w:t>Authors</w:t>
      </w:r>
    </w:p>
    <w:p>
      <w:r>
        <w:t>Jose A. Bird, PhD</w:t>
      </w:r>
    </w:p>
    <w:p>
      <w:r>
        <w:t>Bird AI Solutions</w:t>
      </w:r>
    </w:p>
    <w:p>
      <w:r>
        <w:t>jbird@birdaisolutions.com</w:t>
      </w:r>
    </w:p>
    <w:p/>
    <w:p>
      <w:r>
        <w:t>---</w:t>
      </w:r>
    </w:p>
    <w:p/>
    <w:p>
      <w:pPr>
        <w:pStyle w:val="Heading2"/>
      </w:pPr>
      <w:r>
        <w:t>ABSTRACT</w:t>
      </w:r>
    </w:p>
    <w:p/>
    <w:p>
      <w:r>
        <w:t>Gene regulatory network analysis is essential for understanding disease mechanisms, identifying biomarkers, and prioritizing therapeutic targets, but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 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 In a validation panel of five colorectal cancer biomarkers (MYC, CTNNB1, CCND1, TP53, KRAS), framework classifications showed 100% concordance with published literature. Perturbation analysis correctly ranked experimentally validated TP53 regulators (WWTR1, YAP1, CHD4) among the top candidates. Additional high-ranking regulators (RBPMS, PRRX2, THRA, IKZF2) represent novel hypotheses prioritized for experimental validation. Complete analysis of 99 regulators across 5 genes completed in 15-62 seconds, representing orders of magnitude speedup over manual workflows. RegNetAgents transforms labor-intensive analysis into second-scale automated hypothesis generation accessible to experimental biologists.</w:t>
      </w:r>
    </w:p>
    <w:p/>
    <w:p>
      <w:r>
        <w:t>Keywords: gene regulatory networks, multi-agent systems, workflow orchestration, biomarker discovery, therapeutic target identification, network centrality, PageRank, LangGraph, Model Context Protocol</w:t>
      </w:r>
    </w:p>
    <w:p/>
    <w:p>
      <w:r>
        <w:t>---</w:t>
      </w:r>
    </w:p>
    <w:p/>
    <w:p>
      <w:pPr>
        <w:pStyle w:val="Heading2"/>
      </w:pPr>
      <w:r>
        <w:t>INTRODUCTION</w:t>
      </w:r>
    </w:p>
    <w:p/>
    <w:p>
      <w:pPr>
        <w:pStyle w:val="Heading3"/>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simulates regulator inhibition to identify and rank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pPr>
      <w:r>
        <w:t>METHODS</w:t>
      </w:r>
    </w:p>
    <w:p/>
    <w:p>
      <w:pPr>
        <w:pStyle w:val="Heading3"/>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pPr>
      <w:r>
        <w:t>Data Sources and Network Construction</w:t>
      </w:r>
    </w:p>
    <w:p/>
    <w:p>
      <w:pPr>
        <w:pStyle w:val="Heading4"/>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pPr>
      <w:r>
        <w:t>Pathway Annotation</w:t>
      </w:r>
    </w:p>
    <w:p>
      <w:r>
        <w:t>Pathway enrichment analysis uses the Reactome Pathway Database (https://reactome.org), a manually curated, peer-reviewed database of human biological pathways (19).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pPr>
      <w:r>
        <w:t>Gene Annotation</w:t>
      </w:r>
    </w:p>
    <w:p>
      <w:r>
        <w:t>Gene-level annotations including full names and functional descriptions are retrieved from local NCBI and UniProt databases. Gene identifier conversion between gene symbols and Ensembl IDs uses the Ensembl REST API (https://rest.ensembl.org) (18) with local caching for performance optimization.</w:t>
      </w:r>
    </w:p>
    <w:p/>
    <w:p>
      <w:pPr>
        <w:pStyle w:val="Heading3"/>
      </w:pPr>
      <w:r>
        <w:t>Multi-Agent Workflow</w:t>
      </w:r>
    </w:p>
    <w:p/>
    <w:p>
      <w:pPr>
        <w:pStyle w:val="Heading4"/>
      </w:pPr>
      <w:r>
        <w:t>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pPr>
      <w:r>
        <w:t>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p>
      <w:r>
        <w:t>Network Centrality Metrics for Therapeutic Target Ranking:</w:t>
      </w:r>
    </w:p>
    <w:p>
      <w:r>
        <w:t>We calculate three core centrality measures for each regulator R using NetworkX (42)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(43).</w:t>
      </w:r>
    </w:p>
    <w:p/>
    <w:p>
      <w:r>
        <w:t>Ranking and Interpretation:</w:t>
      </w:r>
    </w:p>
    <w:p>
      <w:r>
        <w:t>Regulators are ranked by PageRank (primary), as this metric was identified as the best predictor of successful drug targets in protein interaction networks (44).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(44).</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Perturbation Analysis Limitations:</w:t>
      </w:r>
    </w:p>
    <w:p/>
    <w:p>
      <w:r>
        <w:t>Our perturbation analysis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p>
      <w:pPr>
        <w:pStyle w:val="Heading4"/>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Quantifies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p>
      <w:r>
        <w:t>Performance: LLM mode adds ~10-12 seconds per gene (4 agents in parallel, ~2.5-3s each) compared to rule-based mode. For 5-gene analysis: ~6 seconds (rule-based) vs ~45-62 seconds (LLM). Both modes remain orders of magnitude faster than manual literature review (hours to days).</w:t>
      </w:r>
    </w:p>
    <w:p/>
    <w:p>
      <w:r>
        <w:t>LLM Reproducibility: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p>
      <w:r>
        <w:t>Domain agents operate independently and can be extended or replaced without affecting other workflow components.</w:t>
      </w:r>
    </w:p>
    <w:p/>
    <w:p>
      <w:pPr>
        <w:pStyle w:val="Heading4"/>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Perturbation analysis results (if applicable, with ranked therapeutic targets)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perturbation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perturbation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pPr>
      <w:r>
        <w:t>Implementation Details</w:t>
      </w:r>
    </w:p>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Ensembl REST API) use asynchronous requests with 10-second timeouts and exponential backoff retry logic. Parallel agent execution uses Python's concurrent.futures ThreadPoolExecutor with a maximum of 4 concurrent threads.</w:t>
      </w:r>
    </w:p>
    <w:p/>
    <w:p>
      <w:pPr>
        <w:pStyle w:val="Heading3"/>
      </w:pPr>
      <w:r>
        <w:t>Performance Benchmarking</w:t>
      </w:r>
    </w:p>
    <w:p/>
    <w:p>
      <w:r>
        <w:t>We measured end-to-end execution time for three analysis scenarios on a standard laptop (Intel i7, 16GB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Each scenario was executed 10 times with cold starts (server restarted between runs). Execution time includes all workflow steps from query initiation to final JSON output, including Reactome API calls.</w:t>
      </w:r>
    </w:p>
    <w:p/>
    <w:p>
      <w:pPr>
        <w:pStyle w:val="Heading3"/>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pPr>
      <w:r>
        <w:t>RESULTS</w:t>
      </w:r>
    </w:p>
    <w:p/>
    <w:p>
      <w:pPr>
        <w:pStyle w:val="Heading3"/>
      </w:pPr>
      <w:r>
        <w:t>Validation Summary</w:t>
      </w:r>
    </w:p>
    <w:p/>
    <w:p>
      <w:r>
        <w:t>Framework validation against established colorectal cancer biology demonstrated:</w:t>
      </w:r>
    </w:p>
    <w:p>
      <w:pPr>
        <w:pStyle w:val="ListBullet"/>
      </w:pPr>
      <w:r>
        <w:t>100% concordance with published biomarker classifications (5/5 genes correctly classified)</w:t>
      </w:r>
    </w:p>
    <w:p>
      <w:pPr>
        <w:pStyle w:val="ListBullet"/>
      </w:pPr>
      <w:r>
        <w:t>Successful prediction of experimentally validated TP53 regulators from Hippo pathway (WWTR1, YAP1, CHD4)</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p>
      <w:r>
        <w:t>LLM-powered mode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p>
      <w:r>
        <w:t>Table 1. Performance Benchmarks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perturbation (all 7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perturbation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perturbation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perturbation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
      <w:pPr>
        <w:pStyle w:val="Heading3"/>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t>Table 2. Colorectal Cancer Biomarker Panel Analysis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(20,21); CTNNB1 mutations/dysregulation occur in 40-80% of CRCs via APC loss and Wnt activation (22,23); CCND1 overexpression occurs in 30-60% of CRCs and drives G1/S transition (24).</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(25,26).</w:t>
      </w:r>
    </w:p>
    <w:p/>
    <w:p>
      <w:r>
        <w:t>Predictive Biomarker (KRAS): Target gene with moderate clinical actionability. KRAS status predicts response to specific therapies (anti-EGFR antibodies). Literature validation: KRAS mutations occur in 40-45% of CRCs and confer resistance to cetuximab/panitumumab (27,28).</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pPr>
      <w:r>
        <w:t>Perturbation Analysis: TP53 Candidate Regulator Prioritization</w:t>
      </w:r>
    </w:p>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p>
      <w:r>
        <w:t>Table 3. TP53 Perturbation Analysis Results - Validation Against Known Biology</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Validation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Validated</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Validated</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Validated</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(33,34). The high PageRank ranking identifies WWTR1 as a central network node, consistent with the established role of Hippo pathway components in regulating cell growth and tumor suppression (39,40). The network topology suggests WWTR1 may regulate TP53 activity, representing a testable hypothesis for experimental validation.</w:t>
      </w:r>
    </w:p>
    <w:p/>
    <w:p>
      <w:r>
        <w:t>RBPMS: RNA-binding protein with multiple splicing. The related protein RBPMS2 has been implicated in smooth muscle plasticity and gene regulation (29), though limited literature exists on RBPMS itself in cancer contexts. While RBPMS shows the highest degree centrality (most connections), direct TP53 regulation represents a testable hypothesis prioritized by network topology for experimental follow-up.</w:t>
      </w:r>
    </w:p>
    <w:p/>
    <w:p>
      <w:r>
        <w:t>PRRX2: Paired-related homeobox 2, a transcription factor with limited characterization in TP53 regulatory contexts. PRRX2's high PageRank despite moderate degree centrality reflects quality over quantity in network connections. Direct TP53 regulation by PRRX2 represents a novel hypothesis prioritized by network topology for experimental validation.</w:t>
      </w:r>
    </w:p>
    <w:p/>
    <w:p>
      <w:r>
        <w:t>This comparison demonstrates that topology-based ranking can: (1) recapitulate experimentally validated regulators (WWTR1 and YAP1 from Hippo pathway, CHD4 from chromatin remodeling complexes), and (2) generate testable hypotheses (RBPMS, PRRX2, THRA, IKZF2) for experimental follow-up. The framework serves as a hypothesis generation tool to prioritize candidates for experimental validation.</w:t>
      </w:r>
    </w:p>
    <w:p/>
    <w:p>
      <w:pPr>
        <w:pStyle w:val="Heading3"/>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pPr>
        <w:pStyle w:val="Heading2"/>
      </w:pPr>
      <w:r>
        <w:t>DISCUSSION</w:t>
      </w:r>
    </w:p>
    <w:p/>
    <w:p>
      <w:pPr>
        <w:pStyle w:val="Heading3"/>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100% agreement with published clinical literature, despite the framework having no prior knowledge of these classifications.</w:t>
      </w:r>
    </w:p>
    <w:p/>
    <w:p>
      <w:r>
        <w:t>2. Known regulatory relationships: TP53 perturbation analysis ranked WWTR1 (TAZ) and YAP1 as top regulators (PageRank 0.473 and 0.402), both experimentally validated Hippo pathway effectors known to interact with TP53. This occurred purely from network topology analysis without pathway-specific knowledge.</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(35), while CARNIVAL infers causal networks from perturbation data (36).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simulation identifies therapeutic targets by quantifying regulatory impact of inhibiting upstream regulators. While gene expression prediction tools exist (e.g., cell2cell for cell-cell communication modeling (37)),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Pr>
        <w:pStyle w:val="Heading3"/>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(38,39), demonstrating the framework can recapitulate and extend experimentally derived therapeutic hypotheses.</w:t>
      </w:r>
    </w:p>
    <w:p/>
    <w:p>
      <w:pPr>
        <w:pStyle w:val="Heading3"/>
      </w:pPr>
      <w:r>
        <w:t>Limitations and Considerations</w:t>
      </w:r>
    </w:p>
    <w:p/>
    <w:p>
      <w:r>
        <w:t>Several limitations warrant consideration:</w:t>
      </w:r>
    </w:p>
    <w:p/>
    <w:p>
      <w:r>
        <w:t>Validation Scope: Framework validation was conducted on a focused panel of five well-characterized colorectal cancer biomarkers (MYC, CTNNB1, CCND1, TP53, KRAS), demonstrating 100% concordance with published literature. While this provides evidence of biological validity for this specific gene set, broader systematic benchmarking across larger gene panels and diverse disease contexts is needed to establish generalizability. The five-gene validation serves as proof-of-concept rather than comprehensive validation across the full spectrum of human genes and regulatory relationships.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pPr>
        <w:pStyle w:val="Heading2"/>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This work demonstrates how AI-assisted development tools can enable researchers from diverse backgrounds to implement sophisticated computational frameworks, broadening participation in computational biology research.</w:t>
      </w:r>
    </w:p>
    <w:p/>
    <w:p>
      <w:r>
        <w:t>---</w:t>
      </w:r>
    </w:p>
    <w:p/>
    <w:p>
      <w:pPr>
        <w:pStyle w:val="Heading2"/>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pPr>
      <w:r>
        <w:t>COMPETING INTERESTS</w:t>
      </w:r>
    </w:p>
    <w:p/>
    <w:p>
      <w:r>
        <w:t>The authors declare no competing interests.</w:t>
      </w:r>
    </w:p>
    <w:p/>
    <w:p>
      <w:r>
        <w:t>---</w:t>
      </w:r>
    </w:p>
    <w:p/>
    <w:p>
      <w:pPr>
        <w:pStyle w:val="Heading2"/>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Yates AD, Achuthan P, Akanni W, et al. Ensembl 2020. Nucleic Acids Res. 2020;48(D1):D682-D688.</w:t>
      </w:r>
    </w:p>
    <w:p/>
    <w:p>
      <w:r>
        <w:t>19. Gillespie M, Jassal B, Stephan R, et al. The reactome pathway knowledgebase 2022. Nucleic Acids Res. 2022;50(D1):D687-D692.</w:t>
      </w:r>
    </w:p>
    <w:p/>
    <w:p>
      <w:r>
        <w:t>20. Erisman MD, Rothberg PG, Diehl RE, Morse CC, Spandorfer JM, Astrin SM. Deregulation of c-myc gene expression in human colon carcinoma is not accompanied by amplification or rearrangement of the gene. Mol Cell Biol. 1985;5(8):1969-1976.</w:t>
      </w:r>
    </w:p>
    <w:p/>
    <w:p>
      <w:r>
        <w:t>21. Sears R, Nuckolls F, Haura E, Taya Y, Tamai K, Nevins JR. Multiple Ras-dependent phosphorylation pathways regulate Myc protein stability. Genes Dev. 2000;14(19):2501-2514.</w:t>
      </w:r>
    </w:p>
    <w:p/>
    <w:p>
      <w:r>
        <w:t>22. Morin PJ, Sparks AB, Korinek V, et al. Activation of beta-catenin-Tcf signaling in colon cancer by mutations in beta-catenin or APC. Science. 1997;275(5307):1787-1790.</w:t>
      </w:r>
    </w:p>
    <w:p/>
    <w:p>
      <w:r>
        <w:t>23. Segditsas S, Tomlinson I. Colorectal cancer and genetic alterations in the Wnt pathway. Oncogene. 2006;25(57):7531-7537.</w:t>
      </w:r>
    </w:p>
    <w:p/>
    <w:p>
      <w:r>
        <w:t>24. Bartkova J, Lukas J, Strauss M, Bartek J. Cyclin D1 oncoprotein aberrantly accumulates in malignancies of diverse histogenesis. Oncogene. 1995;10(4):775-778.</w:t>
      </w:r>
    </w:p>
    <w:p/>
    <w:p>
      <w:r>
        <w:t>25. Iacopetta B. TP53 mutation in colorectal cancer. Hum Mutat. 2003;21(3):271-276.</w:t>
      </w:r>
    </w:p>
    <w:p/>
    <w:p>
      <w:r>
        <w:t>26. Olivier M, Hollstein M, Hainaut P. TP53 mutations in human cancers: origins, consequences, and clinical use. Cold Spring Harb Perspect Biol. 2010;2(1):a001008.</w:t>
      </w:r>
    </w:p>
    <w:p/>
    <w:p>
      <w:r>
        <w:t>27. Lievre A, Bachet JB, Le Corre D, et al. KRAS mutation status is predictive of response to cetuximab therapy in colorectal cancer. Cancer Res. 2006;66(8):3992-3995.</w:t>
      </w:r>
    </w:p>
    <w:p/>
    <w:p>
      <w:r>
        <w:t>28. Karapetis CS, Khambata-Ford S, Jonker DJ, et al. K-ras mutations and benefit from cetuximab in advanced colorectal cancer. N Engl J Med. 2008;359(17):1757-1765.</w:t>
      </w:r>
    </w:p>
    <w:p/>
    <w:p>
      <w:r>
        <w:t>29. Sagnol S, Yang Y, Bessin Y, et al. Homodimerization of RBPMS2 through a new RRM-interaction motif is necessary to control smooth muscle plasticity. Nucleic Acids Res. 2014;42(15):10173-10184.</w:t>
      </w:r>
    </w:p>
    <w:p/>
    <w:p>
      <w:r>
        <w:t>30. Polo SE, Kaidi A, Baskcomb L, Galanty Y, Jackson SP. Regulation of DNA-damage responses and cell-cycle progression by the chromatin remodelling factor CHD4. EMBO J. 2010;29(18):3130-3139.</w:t>
      </w:r>
    </w:p>
    <w:p/>
    <w:p>
      <w:r>
        <w:t>31. Larsen DH, Poinsignon C, Gudjonsson T, et al. The chromatin-remodeling factor CHD4 coordinates signaling and repair after DNA damage. J Cell Biol. 2010;190(5):731-740.</w:t>
      </w:r>
    </w:p>
    <w:p/>
    <w:p>
      <w:r>
        <w:t>32. Smeenk G, Wiegant WW, Vrolijk H, et al. The NuRD chromatin-remodeling complex regulates signaling and repair of DNA damage. J Cell Biol. 2010;190(5):741-749.</w:t>
      </w:r>
    </w:p>
    <w:p/>
    <w:p>
      <w:r>
        <w:t>33. Strano S, Monti O, Pediconi N, et al. The transcriptional coactivator Yes-associated protein drives p73 gene-target specificity in response to DNA damage. Mol Cell. 2005;18(4):447-459.</w:t>
      </w:r>
    </w:p>
    <w:p/>
    <w:p>
      <w:r>
        <w:t>34. Levy D, Adamovich Y, Reuven N, Shaul Y. Yap1 phosphorylation by c-Abl is a critical step in selective activation of proapoptotic genes in response to DNA damage. Mol Cell. 2008;29(3):350-361.</w:t>
      </w:r>
    </w:p>
    <w:p/>
    <w:p>
      <w:r>
        <w:t>35. Shao DD, Xue W, Krall EB, et al. KRAS and YAP1 converge to regulate EMT and tumor survival. Cell. 2014;158(1):171-184.</w:t>
      </w:r>
    </w:p>
    <w:p/>
    <w:p>
      <w:r>
        <w:t>36. Zhou G, Soufan O, Ewald J, Hancock REW, Basu N, Xia J. NetworkAnalyst 3.0: a visual analytics platform for comprehensive gene expression profiling and meta-analysis. Nucleic Acids Res. 2019;47(W1):W234-W241.</w:t>
      </w:r>
    </w:p>
    <w:p/>
    <w:p>
      <w:r>
        <w:t>37. Liu A, Trairatphisan P, Gjerga E, et al. From expression footprints to causal pathways: contextualizing large signaling networks with CARNIVAL. NPJ Syst Biol Appl. 2019;5:40.</w:t>
      </w:r>
    </w:p>
    <w:p/>
    <w:p>
      <w:r>
        <w:t>38. Armingol E, Officer A, Harismendy O, Lewis NE. Deciphering cell-cell interactions and communication from gene expression. Nat Rev Genet. 2021;22(2):71-88.</w:t>
      </w:r>
    </w:p>
    <w:p/>
    <w:p>
      <w:r>
        <w:t>39. Zanconato F, Cordenonsi M, Piccolo S. YAP and TAZ: a signalling hub of the tumour microenvironment. Nat Rev Cancer. 2019;19(8):454-464.</w:t>
      </w:r>
    </w:p>
    <w:p/>
    <w:p>
      <w:r>
        <w:t>40. Zhao B, Tumaneng K, Guan KL. The Hippo pathway in organ size control, tissue regeneration and stem cell self-renewal. Nat Cell Biol. 2011;13(8):877-883.</w:t>
      </w:r>
    </w:p>
    <w:p/>
    <w:p>
      <w:r>
        <w:t>41. Dixit A, Parnas O, Li B, et al. Perturb-Seq: Dissecting molecular circuits with scalable single-cell RNA profiling of pooled genetic screens. Cell. 2016;167(7):1853-1866.e17.</w:t>
      </w:r>
    </w:p>
    <w:p/>
    <w:p>
      <w:r>
        <w:t>42. Hagberg AA, Schult DA, Swart PJ. Exploring network structure, dynamics, and function using NetworkX. Proceedings of the 7th Python in Science Conference (SciPy 2008); 2008. p. 11-15.</w:t>
      </w:r>
    </w:p>
    <w:p/>
    <w:p>
      <w:r>
        <w:t>43. Koschützki D, Schreiber F. Centrality analysis methods for biological networks and their application to gene regulatory networks. Gene Regulation and Systems Biology. 2008;2:GRSB.S702.</w:t>
      </w:r>
    </w:p>
    <w:p/>
    <w:p>
      <w:r>
        <w:t>44. Mora A, Donaldson IM. Effects of protein interaction data integration, representation and reliability on the use of network properties for drug target prediction. BMC Bioinformatics. 2021;22(1):1-29. doi:10.1186/s12859-021-04042-6</w:t>
      </w:r>
    </w:p>
    <w:p/>
    <w:p>
      <w:r>
        <w:t>---</w:t>
      </w:r>
    </w:p>
    <w:p/>
    <w:p>
      <w:pPr>
        <w:pStyle w:val="Heading2"/>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w:t>
      </w:r>
    </w:p>
    <w:p/>
    <w:p>
      <w:pPr>
        <w:pStyle w:val="Heading2"/>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p>
      <w:r>
        <w:t>Manuscript Statistics:</w:t>
      </w:r>
    </w:p>
    <w:p>
      <w:pPr>
        <w:pStyle w:val="ListBullet"/>
      </w:pPr>
      <w:r>
        <w:t>Words (excluding references): ~8,250</w:t>
      </w:r>
    </w:p>
    <w:p>
      <w:pPr>
        <w:pStyle w:val="ListBullet"/>
      </w:pPr>
      <w:r>
        <w:t>Figures: 4</w:t>
      </w:r>
    </w:p>
    <w:p>
      <w:pPr>
        <w:pStyle w:val="ListBullet"/>
      </w:pPr>
      <w:r>
        <w:t>Tables: 3</w:t>
      </w:r>
    </w:p>
    <w:p>
      <w:pPr>
        <w:pStyle w:val="ListBullet"/>
      </w:pPr>
      <w:r>
        <w:t>References: 44</w:t>
      </w:r>
    </w:p>
    <w:p>
      <w:pPr>
        <w:pStyle w:val="ListBullet"/>
      </w:pPr>
      <w:r>
        <w:t>Pages (estimated): 12-15 in typical journal format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