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r>
        <w:t>---</w:t>
      </w:r>
    </w:p>
    <w:p/>
    <w:p>
      <w:pPr>
        <w:pStyle w:val="Heading2"/>
        <w:keepNext/>
      </w:pPr>
      <w:r>
        <w:t>Authors</w:t>
      </w:r>
    </w:p>
    <w:p>
      <w:r>
        <w:t>Jose A. Bird, PhD</w:t>
      </w:r>
    </w:p>
    <w:p>
      <w:r>
        <w:t>Bird AI Solutions</w:t>
      </w:r>
    </w:p>
    <w:p>
      <w:r>
        <w:t>jbird@birdaisolutions.com</w:t>
      </w:r>
    </w:p>
    <w:p/>
    <w:p>
      <w:r>
        <w:t>---</w:t>
      </w:r>
    </w:p>
    <w:p/>
    <w:p>
      <w:pPr>
        <w:pStyle w:val="Heading2"/>
        <w:keepNext/>
      </w:pPr>
      <w:r>
        <w:t>ABSTRACT</w:t>
      </w:r>
    </w:p>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network-based target ranking, pathway enrichment, and multi-domain interpretation into a conversational interface accessible via Claude Desktop without programming expertise.</w:t>
      </w:r>
    </w:p>
    <w:p/>
    <w:p>
      <w:r>
        <w:t>Built on ARACNe networks from 500,000+ single cells across 10 cell types, the framework deploys four specialized agents executing in parallel with rule-based fallback for reliability. Automated therapeutic target prioritization ranks candidate targets using network centrality metrics (PageRank, degree centrality).</w:t>
      </w:r>
    </w:p>
    <w:p/>
    <w:p>
      <w:r>
        <w:t>In a demonstration study of five colorectal cancer genes (MYC, CTNNB1, CCND1, TP53, KRAS), the framework characterized distinct regulatory architectures (hub regulators vs. heavily regulated genes) that align with known biological roles. Therapeutic target prioritization identified literature-supported TP53 interactors (WWTR1, YAP1, CHD4) among the top-ranked network neighbors based on topology. Additional high-ranking regulators (RBPMS, PRRX2, THRA, IKZF2) represent novel hypotheses prioritized for experimental validation.</w:t>
      </w:r>
    </w:p>
    <w:p/>
    <w:p>
      <w:r>
        <w:t>Complete analysis of 99 regulators across 5 genes completed in 15-62 seconds, representing orders of magnitude speedup over manual workflows. This demonstration on a limited five-gene panel establishes proof-of-concept for the framework's ability to recapitulate literature-confirmed patterns and generate testable hypotheses. RegNetAgents is designed as a hypothesis generation tool to prioritize candidates for experimental validation, not as a replacement for wet-lab experimentation. The framework transforms labor-intensive analysis into second-scale automated hypothesis generation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perturbation experiments.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Therapeutic Target Prioritization Limitations:</w:t>
      </w:r>
    </w:p>
    <w:p/>
    <w:p>
      <w:r>
        <w:t>Our therapeutic target prioritization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pPr>
        <w:pStyle w:val="Heading4"/>
        <w:keepNext/>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(heavilyregulated role = diagnostic, hubregulator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(regulatoryrole, numregulators,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target prioritization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target prioritization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end-point effectors: CCND1,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 Similarly, TP53 was characterized as: "Mutations in TP53 are associated with various human cancers, indicating that its loss or dysregulation has critical consequences for the network"—consistent with 50-70% mutation rates in CRCs (28,29).</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w:t>
      </w:r>
    </w:p>
    <w:p/>
    <w:p>
      <w:r>
        <w:t>This validation demonstrates LLM mode's ability to synthesize network topology with biological knowledge from gene functional annotations, providing interpretable outputs that explain the 'why' behind network-based classifications. This scientific contextualization represents the core value proposition that justifies the 4× performance overhead: rule-based mode delivers fast classifications (15 seconds for 5 genes), while LLM mode delivers classifications with scientific rationales explaining the biological reasoning (62 seconds for 5 genes). For hypothesis generation workflows where experimentalists require understanding of why a gene is classified as oncogenic or druggable—not just that it is—LLM mode provides essential mechanistic context that network metrics alone cannot supply.</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Heavily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PageRank (primary ranking, calculated on entire network to capture global influence; best predictor of drug target success per Mora &amp; Donaldson 2021) and out-degree centrality (secondary ranking, measures direct downstream targets). Top candidate shown for each gene. These rankings serve as hypotheses for experimental validation. Detailed TP53 regulator ranking results presented below (Table 3) as representative example with complete rankings of all 7 regulators.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Two genes showed heavily regulated profiles with no downstream regulation: CCND1 (42 regulators) and KRAS (7 regulators), consistent with their roles as end-point effectors in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vs. heavily regulated genes) demonstrates its ability to characterize gene regulatory roles from network topology, providing context for interpretation of each gene's potential biological significance.</w:t>
      </w:r>
    </w:p>
    <w:p/>
    <w:p>
      <w:r>
        <w:br w:type="page"/>
      </w:r>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Table 3 shows all 7 regulators (complete ranking), not a filtered subset. The analysis ranks all regulators using network centrality metrics computed from network topology (Table 3, Figure 3). These rankings serve as hypotheses for experimental validation, not predictions of therapeutic efficacy.</w:t>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r>
        <w:br w:type="page"/>
      </w:r>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(hub regulators vs. heavily regulated genes) align with known biological roles - TP53, MYC, and CTNNB1 as master regulatory hubs in tumor suppression and oncogenic signaling, while CCND1 and KRAS function as end-point effectors.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 and Considerations</w:t>
      </w:r>
    </w:p>
    <w:p/>
    <w:p>
      <w:r>
        <w:t>Several limitations warrant consideration:</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keepNext/>
      </w:pPr>
      <w:r>
        <w:t>COMPETING INTERESTS</w:t>
      </w:r>
    </w:p>
    <w:p/>
    <w:p>
      <w:r>
        <w:t>The authors declare no competing interests.</w:t>
      </w:r>
    </w:p>
    <w:p/>
    <w:p>
      <w:r>
        <w:t>---</w:t>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r>
        <w:t>---</w:t>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r>
        <w:t>---</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p>
      <w:r>
        <w:t>Example JSON Output: The framework returns structured JSON responses. Example for TP53 analysis (abbreviated):</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