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RegNetAgents: A Validated Multi-Agent AI Framework for Automated Gene Regulatory Network Analysis and Therapeutic Target Prioritization</w:t>
      </w:r>
    </w:p>
    <w:p>
      <w:r>
        <w:rPr>
          <w:b/>
        </w:rPr>
        <w:t>Running Title:</w:t>
      </w:r>
      <w:r>
        <w:t xml:space="preserve"> Multi-Agent Gene Regulatory Network Analysis</w:t>
      </w:r>
    </w:p>
    <w:p>
      <w:pPr>
        <w:pStyle w:val="Heading1"/>
      </w:pPr>
      <w:r>
        <w:t>Authors</w:t>
      </w:r>
    </w:p>
    <w:p>
      <w:r>
        <w:t>Jose A. Bird, PhD</w:t>
      </w:r>
    </w:p>
    <w:p>
      <w:r>
        <w:t>Founder &amp; Data Science Consultant, Bird AI Solutions</w:t>
      </w:r>
    </w:p>
    <w:p>
      <w:r>
        <w:t>jbird@birdaisolutions.com</w:t>
      </w:r>
    </w:p>
    <w:p>
      <w:pPr>
        <w:pStyle w:val="Heading1"/>
      </w:pPr>
      <w:r>
        <w:t>ABSTRACT</w:t>
      </w:r>
    </w:p>
    <w:p>
      <w:r>
        <w:t>Gene regulatory network analysis is essential for understanding disease mechanisms, identifying biomarkers, and prioritizing therapeutic targets, but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perturbation simulation, pathway enrichment, and multi-domain interpretation into a conversational interface accessible via Claude Desktop without programming expertise. 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 Demonstration on colorectal cancer biomarkers (MYC, CTNNB1, CCND1, TP53, KRAS) showed 100% concordance with published literature. Perturbation analysis correctly ranked experimentally validated TP53 regulators (WWTR1, YAP1, CHD4) among the top candidates. Additional high-ranking regulators (RBPMS, PRRX2, THRA, IKZF2) represent novel hypotheses prioritized for experimental validation. Complete analysis of 99 regulators across 5 genes completed in 15-62 seconds, representing orders of magnitude speedup over manual workflows. RegNetAgents transforms labor-intensive analysis into second-scale automated hypothesis generation accessible to experimental biologists.</w:t>
      </w:r>
    </w:p>
    <w:p>
      <w:r>
        <w:rPr>
          <w:b/>
        </w:rPr>
        <w:t>Keywords:</w:t>
      </w:r>
      <w:r>
        <w:t xml:space="preserve"> gene regulatory networks, multi-agent systems, workflow orchestration, biomarker discovery, therapeutic target identification, network centrality, PageRank, LangGraph, Model Context Protocol</w:t>
      </w:r>
    </w:p>
    <w:p>
      <w:pPr>
        <w:pStyle w:val="Heading1"/>
      </w:pPr>
      <w:r>
        <w:t>INTRODUCTION</w:t>
      </w:r>
    </w:p>
    <w:p>
      <w:pPr>
        <w:pStyle w:val="Heading2"/>
      </w:pPr>
      <w:r>
        <w:t>Background</w:t>
      </w:r>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Pr>
        <w:pStyle w:val="Heading2"/>
      </w:pPr>
      <w:r>
        <w:t>Regulatory Network Data Sources</w:t>
      </w:r>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r>
        <w:rPr>
          <w:b/>
        </w:rPr>
        <w:t>ARACNe Network Inference</w:t>
      </w:r>
      <w:r>
        <w:t>: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r>
        <w:rPr>
          <w:b/>
        </w:rPr>
        <w:t>Network Processing</w:t>
      </w:r>
      <w:r>
        <w:t>: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Pr>
        <w:pStyle w:val="Heading2"/>
      </w:pPr>
      <w:r>
        <w:t>Our Contribution</w:t>
      </w:r>
    </w:p>
    <w:p>
      <w:r>
        <w:t xml:space="preserve">We present RegNetAgents, a multi-agent AI framework that streamlines gene regulatory network analysis and makes sophisticated computational methods accessible to experimental biologists. The system integrates network analysis, pathway enrichment, perturbation simulation, and multi-domain interpretation into a unified, conversational interface. Key contributions include: (1) </w:t>
      </w:r>
      <w:r>
        <w:rPr>
          <w:b/>
        </w:rPr>
        <w:t>Workflow automation</w:t>
      </w:r>
      <w:r>
        <w:t xml:space="preserve">: parallel multi-agent execution enabling second-scale analysis that replaces multi-hour manual workflows, (2) </w:t>
      </w:r>
      <w:r>
        <w:rPr>
          <w:b/>
        </w:rPr>
        <w:t>Hypothesis generation</w:t>
      </w:r>
      <w:r>
        <w:t xml:space="preserve">: automated perturbation analysis that simulates regulator inhibition to identify and rank candidate therapeutic targets for experimental validation, (3) </w:t>
      </w:r>
      <w:r>
        <w:rPr>
          <w:b/>
        </w:rPr>
        <w:t>Multi-domain integration</w:t>
      </w:r>
      <w:r>
        <w:t xml:space="preserve">: four specialized domain agents providing cancer, drug development, clinical, and systems biology perspectives in a single query, (4) </w:t>
      </w:r>
      <w:r>
        <w:rPr>
          <w:b/>
        </w:rPr>
        <w:t>Accessibility</w:t>
      </w:r>
      <w:r>
        <w:t xml:space="preserve">: natural language interface via Model Context Protocol enabling conversational access without programming expertise, and (5) </w:t>
      </w:r>
      <w:r>
        <w:rPr>
          <w:b/>
        </w:rPr>
        <w:t>Demonstration</w:t>
      </w:r>
      <w:r>
        <w:t>: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Pr>
        <w:pStyle w:val="Heading2"/>
      </w:pPr>
      <w:r>
        <w:t>Validation Strategy</w:t>
      </w:r>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Pr>
        <w:pStyle w:val="Heading1"/>
      </w:pPr>
      <w:r>
        <w:t>METHODS</w:t>
      </w:r>
    </w:p>
    <w:p>
      <w:pPr>
        <w:pStyle w:val="Heading2"/>
      </w:pPr>
      <w:r>
        <w:t>Architecture Overview</w:t>
      </w:r>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intermediate, terminal target)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Pr>
        <w:pStyle w:val="Heading2"/>
      </w:pPr>
      <w:r>
        <w:t>Data Sources and Network Construction</w:t>
      </w:r>
    </w:p>
    <w:p>
      <w:r>
        <w:t>#### 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r>
        <w:t>#### Pathway Annotation</w:t>
      </w:r>
    </w:p>
    <w:p>
      <w:r>
        <w:t>Pathway enrichment analysis uses the Reactome Pathway Database (https://reactome.org), a manually curated, peer-reviewed database of human biological pathways (19).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r>
        <w:t>#### Gene Annotation</w:t>
      </w:r>
    </w:p>
    <w:p>
      <w:r>
        <w:t>Gene-level annotations including full names and functional descriptions are retrieved from local NCBI and UniProt databases. Gene identifier conversion between gene symbols and Ensembl IDs uses the Ensembl REST API (https://rest.ensembl.org) (18) with local caching for performance optimization.</w:t>
      </w:r>
    </w:p>
    <w:p>
      <w:pPr>
        <w:pStyle w:val="Heading2"/>
      </w:pPr>
      <w:r>
        <w:t>Multi-Agent Workflow</w:t>
      </w:r>
    </w:p>
    <w:p>
      <w:r>
        <w:t>#### 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r>
        <w:t>Regulatory roles are assigned algorithmically:</w:t>
      </w:r>
    </w:p>
    <w:p>
      <w:r>
        <w:t xml:space="preserve">- </w:t>
      </w:r>
      <w:r>
        <w:rPr>
          <w:b/>
        </w:rPr>
        <w:t>Hub regulator</w:t>
      </w:r>
      <w:r>
        <w:t>: Out-degree ≥ 50 targets (top 10% of network)</w:t>
      </w:r>
    </w:p>
    <w:p>
      <w:r>
        <w:t xml:space="preserve">- </w:t>
      </w:r>
      <w:r>
        <w:rPr>
          <w:b/>
        </w:rPr>
        <w:t>Intermediate regulator</w:t>
      </w:r>
      <w:r>
        <w:t>: 5 ≤ out-degree &lt; 50</w:t>
      </w:r>
    </w:p>
    <w:p>
      <w:r>
        <w:t xml:space="preserve">- </w:t>
      </w:r>
      <w:r>
        <w:rPr>
          <w:b/>
        </w:rPr>
        <w:t>Terminal target</w:t>
      </w:r>
      <w:r>
        <w:t>: Out-degree &lt; 5 and in-degree ≥ 5</w:t>
      </w:r>
    </w:p>
    <w:p>
      <w:r>
        <w:t xml:space="preserve">- </w:t>
      </w:r>
      <w:r>
        <w:rPr>
          <w:b/>
        </w:rPr>
        <w:t>Target</w:t>
      </w:r>
      <w:r>
        <w:t>: Out-degree = 0 or in-degree &gt; out-degree</w:t>
      </w:r>
    </w:p>
    <w:p>
      <w:r>
        <w:t>Network position metrics include in-degree (number of regulators), out-degree (number of targets), and binary classification as regulator or target.</w:t>
      </w:r>
    </w:p>
    <w:p>
      <w:r>
        <w:t>#### Perturbation Analysis Agent</w:t>
      </w:r>
    </w:p>
    <w:p>
      <w:r>
        <w:t>For genes with five or more upstream regulators, we perform automated perturbation analysis to identify potential therapeutic targets. This analysis simulates inhibiting each upstream regulator individually and evaluates therapeutic potential using standard network centrality metrics.</w:t>
      </w:r>
    </w:p>
    <w:p>
      <w:r>
        <w:rPr>
          <w:b/>
        </w:rPr>
        <w:t>Network Centrality Metrics for Therapeutic Target Ranking:</w:t>
      </w:r>
    </w:p>
    <w:p>
      <w:r>
        <w:t>We calculate three core centrality measures for each regulator R using NetworkX (42) implementations:</w:t>
      </w:r>
    </w:p>
    <w:p>
      <w:r>
        <w:rPr>
          <w:b/>
        </w:rPr>
        <w:t>Degree Centrality:</w:t>
      </w:r>
    </w:p>
    <w:p>
      <w:r>
        <w:t>C_D(R) = deg(R) / (N - 1)</w:t>
      </w:r>
    </w:p>
    <w:p>
      <w:r>
        <w:t>Where deg(R) is the total number of connections (in-degree + out-degree) and N is the total number of nodes in the network. Measures overall network connectivity.</w:t>
      </w:r>
    </w:p>
    <w:p>
      <w:r>
        <w:rPr>
          <w:b/>
        </w:rPr>
        <w:t>Out-Degree Centrality (Primary Hub Metric):</w:t>
      </w:r>
    </w:p>
    <w:p>
      <w:r>
        <w:t>C_out(R) = deg_out(R) / (N - 1)</w:t>
      </w:r>
    </w:p>
    <w:p>
      <w:r>
        <w:t>Where deg_out(R) is the number of downstream targets regulated by R. This metric identifies hub regulators with broad downstream effects and estimates potential off-target impacts of therapeutic intervention.</w:t>
      </w:r>
    </w:p>
    <w:p>
      <w:r>
        <w:rPr>
          <w:b/>
        </w:rPr>
        <w:t>PageRank (Primary Ranking Metric):</w:t>
      </w:r>
    </w:p>
    <w:p>
      <w:r>
        <w:t>PR(R) = (1-α)/N + α × Σ[PR(v) / L(v)] for all v in M(R)</w:t>
      </w:r>
    </w:p>
    <w:p>
      <w:r>
        <w:t>Where M(R) is the set of nodes with edges pointing to R, L(v) is the out-degree of node v (number of outbound edges), α = 0.85 is the damping factor, and N is the total number of nodes. For large networks (≥1,000 nodes), PageRank is normalized by dividing by the maximum PageRank value to ensure interpretability. This is Google's algorithm adapted for biological networks, measuring connection quality rather than quantity (43).</w:t>
      </w:r>
    </w:p>
    <w:p>
      <w:r>
        <w:rPr>
          <w:b/>
        </w:rPr>
        <w:t>Ranking and Interpretation:</w:t>
      </w:r>
    </w:p>
    <w:p>
      <w:r>
        <w:t>Regulators are ranked by PageRank (primary), as this metric was identified as the best predictor of successful drug targets in protein interaction networks (44).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(44).</w:t>
      </w:r>
    </w:p>
    <w:p>
      <w:r>
        <w:t>For each regulator, we report:</w:t>
      </w:r>
    </w:p>
    <w:p>
      <w:r>
        <w:t>- Network centrality metrics (PageRank, degree centrality, out-degree centrality)</w:t>
      </w:r>
    </w:p>
    <w:p>
      <w:r>
        <w:t>- Number of downstream targets (off-target effect estimate)</w:t>
      </w:r>
    </w:p>
    <w:p>
      <w:r>
        <w:t>- Cascade overlap count (shared regulatory targets with target gene)</w:t>
      </w:r>
    </w:p>
    <w:p>
      <w:r>
        <w:t>- Top 5 affected cascades (genes regulated by both the inhibited regulator and the target gene)</w:t>
      </w:r>
    </w:p>
    <w:p>
      <w:r>
        <w:rPr>
          <w:b/>
        </w:rP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r>
        <w:rPr>
          <w:b/>
        </w:rPr>
        <w:t>Perturbation Analysis Limitations:</w:t>
      </w:r>
    </w:p>
    <w:p>
      <w:r>
        <w:t>Our perturbation analysis makes several simplifying assumptions that warrant consideration:</w:t>
      </w:r>
    </w:p>
    <w:p>
      <w:r>
        <w:t xml:space="preserve">1. </w:t>
      </w:r>
      <w:r>
        <w:rPr>
          <w:b/>
        </w:rPr>
        <w:t>Topology-based ranking</w:t>
      </w:r>
      <w:r>
        <w:t>: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r>
        <w:t xml:space="preserve">2. </w:t>
      </w:r>
      <w:r>
        <w:rPr>
          <w:b/>
        </w:rPr>
        <w:t>Additive regulatory effects</w:t>
      </w:r>
      <w:r>
        <w:t>: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r>
        <w:t xml:space="preserve">3. </w:t>
      </w:r>
      <w:r>
        <w:rPr>
          <w:b/>
        </w:rPr>
        <w:t>Chromatin context</w:t>
      </w:r>
      <w:r>
        <w: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r>
        <w:t xml:space="preserve">4. </w:t>
      </w:r>
      <w:r>
        <w:rPr>
          <w:b/>
        </w:rPr>
        <w:t>Static network assumption</w:t>
      </w:r>
      <w:r>
        <w:t>: Networks represent time-averaged regulatory relationships and do not capture dynamic rewiring during development, differentiation, or disease progression. Regulator importance may vary across cellular states not represented in the averaged network.</w:t>
      </w:r>
    </w:p>
    <w:p>
      <w:r>
        <w:t>Despite these limitations, topology-based perturbation analysis successfully identifies experimentally validated regulators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r>
        <w:t>#### 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r>
        <w:t>Reactome returns enriched pathways ranked by statistical significance, including:</w:t>
      </w:r>
    </w:p>
    <w:p>
      <w:r>
        <w:t>- Pathway ID and name</w:t>
      </w:r>
    </w:p>
    <w:p>
      <w:r>
        <w:t>- P-value (uncorrected)</w:t>
      </w:r>
    </w:p>
    <w:p>
      <w:r>
        <w:t>- False discovery rate (FDR, Benjamini-Hochberg correction)</w:t>
      </w:r>
    </w:p>
    <w:p>
      <w:r>
        <w:t>- Number of query genes in pathway</w:t>
      </w:r>
    </w:p>
    <w:p>
      <w:r>
        <w:t>- Total pathway size</w:t>
      </w:r>
    </w:p>
    <w:p>
      <w:r>
        <w:t>- Species (Homo sapiens)</w:t>
      </w:r>
    </w:p>
    <w:p>
      <w:r>
        <w:t>We report all pathways with FDR &lt; 0.05 as significantly enriched. For queries returning fewer than 3 enriched pathways at FDR &lt; 0.05, we relax to p &lt; 0.05 uncorrected to provide exploratory pathway associations.</w:t>
      </w:r>
    </w:p>
    <w:p>
      <w:r>
        <w:t>#### Domain Analysis Agents</w:t>
      </w:r>
    </w:p>
    <w:p>
      <w:r>
        <w:t xml:space="preserve">Four domain-specific agents execute in parallel, each providing specialized biological interpretation. </w:t>
      </w:r>
      <w:r>
        <w:rPr>
          <w:b/>
        </w:rPr>
        <w:t>Agents are LLM-powered by default</w:t>
      </w:r>
      <w:r>
        <w: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r>
        <w:rPr>
          <w:b/>
        </w:rPr>
        <w:t>LLM-Powered Mode (Primary):</w:t>
      </w:r>
    </w:p>
    <w:p>
      <w:r>
        <w:t>Each domain agent receives structured prompts containing:</w:t>
      </w:r>
    </w:p>
    <w:p>
      <w:r>
        <w:t>- Gene functional descriptions from NCBI/UniProt databases (providing validated biological context)</w:t>
      </w:r>
    </w:p>
    <w:p>
      <w:r>
        <w:t>- Gene regulatory context (role, upstream regulators, downstream targets, PageRank)</w:t>
      </w:r>
    </w:p>
    <w:p>
      <w:r>
        <w:t>- Pathway enrichment results (when available)</w:t>
      </w:r>
    </w:p>
    <w:p>
      <w:r>
        <w:t>- Cross-cell-type expression patterns (for clinical agent)</w:t>
      </w:r>
    </w:p>
    <w:p>
      <w:r>
        <w:t>Agents return JSON-structured insights with:</w:t>
      </w:r>
    </w:p>
    <w:p>
      <w:r>
        <w:t>- Domain-specific classifications (e.g., oncogenic potential: high/moderate/low, intervention strategy: inhibition/activation)</w:t>
      </w:r>
    </w:p>
    <w:p>
      <w:r>
        <w:t>- Scientific rationales explaining each classification</w:t>
      </w:r>
    </w:p>
    <w:p>
      <w:r>
        <w:t>- Network topology metrics (PageRank, degree centrality)</w:t>
      </w:r>
    </w:p>
    <w:p>
      <w:r>
        <w:t>- 1-2 sentence summaries for integration</w:t>
      </w:r>
    </w:p>
    <w:p>
      <w:r>
        <w:t>LLM prompts request specific JSON formats with predefined keys. Response parsing includes validation, missing key detection with placeholder insertion, and classification verification. Retry logic (2 attempts) handles transient failures.</w:t>
      </w:r>
    </w:p>
    <w:p>
      <w:r>
        <w:rPr>
          <w:b/>
        </w:rPr>
        <w:t>Rule-Based Fallback (Reliability):</w:t>
      </w:r>
    </w:p>
    <w:p>
      <w:r>
        <w:t>If LLM is unavailable or fails, agents use fast heuristic algorithms that classify genes based on network topology:</w:t>
      </w:r>
    </w:p>
    <w:p>
      <w:r>
        <w:rPr>
          <w:b/>
        </w:rPr>
        <w:t>Cancer Biology Agent:</w:t>
      </w:r>
      <w:r>
        <w:t xml:space="preserve"> Classifies oncogenic potential based on network centrality (&gt;50 targets = high, &gt;20 = moderate, &lt;20 = low), tumor suppressor likelihood (terminal targets with &gt;10 regulators = high), and biomarker potential (diagnostic for terminal targets, prognostic for hub regulators, predictive based on regulatory architecture). Classifications are heuristics derived from network position and regulatory role.</w:t>
      </w:r>
    </w:p>
    <w:p>
      <w:r>
        <w:rPr>
          <w:b/>
        </w:rPr>
        <w:t>Drug Development Agent:</w:t>
      </w:r>
      <w:r>
        <w:t xml:space="preserve"> Identifies intervention strategies based on regulatory architecture (hub regulators = inhibition candidates, terminal targets = activation candidates), estimates development complexity (high for hubs due to potential off-target effects, moderate for intermediate nodes, low for terminal targets), and provides qualitative assessments of downstream cascade effects based on target counts.</w:t>
      </w:r>
    </w:p>
    <w:p>
      <w:r>
        <w:rPr>
          <w:b/>
        </w:rPr>
        <w:t>Clinical Relevance Agent:</w:t>
      </w:r>
      <w:r>
        <w:t xml:space="preserve"> Classifies biomarker utility (diagnostic for terminal targets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r>
        <w:rPr>
          <w:b/>
        </w:rPr>
        <w:t>Systems Biology Agent:</w:t>
      </w:r>
      <w:r>
        <w:t xml:space="preserve"> Quantifies network centrality metrics (PageRank, out-degree, in-degree), classifies regulatory hierarchy position (hub/intermediate/terminal), and estimates perturbation impact scope (system-wide for hubs, localized for terminals) based on network topology.</w:t>
      </w:r>
    </w:p>
    <w:p>
      <w:r>
        <w:rPr>
          <w:b/>
        </w:rPr>
        <w:t>Classification Rationale:</w:t>
      </w:r>
      <w:r>
        <w:t xml:space="preserve"> Agent classifications are derived from network topology thresholds empirically chosen to reflect regulatory roles: (1) Oncogenic potential: &gt;50 targets = high (strong regulatory influence), 20-50 = moderate, &lt;20 = low; (2) Tumor suppressor likelihood: terminal targets with &gt;10 regulators = high (multiple regulatory controls suggest gatekeeper function); (3) Intervention complexity: hub regulators = high (many downstream targets create off-target risks), intermediates = moderate, terminals = low; (4) Biomarker utility: terminal targets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r>
        <w:rPr>
          <w:b/>
        </w:rPr>
        <w:t>Performance:</w:t>
      </w:r>
      <w:r>
        <w:t xml:space="preserve"> LLM mode adds ~5 seconds per gene (4 agents in parallel, ~1.25s each) compared to rule-based mode. For 5-gene analysis: ~6 seconds (rule-based) vs ~20 seconds (LLM). Both modes remain orders of magnitude faster than manual literature review.</w:t>
      </w:r>
    </w:p>
    <w:p>
      <w:r>
        <w:rPr>
          <w:b/>
        </w:rPr>
        <w:t>LLM Reproducibility:</w:t>
      </w:r>
      <w:r>
        <w:t xml:space="preserve"> LLM-generated outputs exhibit variability across runs due to temperature-based sampling (temperature = 0.7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r>
        <w:t>Domain agents operate independently and can be extended or replaced without affecting other workflow components.</w:t>
      </w:r>
    </w:p>
    <w:p>
      <w:r>
        <w:t>#### Integration and Reporting Agent</w:t>
      </w:r>
    </w:p>
    <w:p>
      <w:r>
        <w:t>The integration agent synthesizes results from all upstream agents into a comprehensive analysis report. Output format is structured JSON containing:</w:t>
      </w:r>
    </w:p>
    <w:p>
      <w:r>
        <w:t>- Gene analysis summary (gene, cell type, regulatory role)</w:t>
      </w:r>
    </w:p>
    <w:p>
      <w:r>
        <w:t>- Network analysis (regulators, targets, network position)</w:t>
      </w:r>
    </w:p>
    <w:p>
      <w:r>
        <w:t>- Perturbation analysis results (if applicable, with ranked therapeutic targets)</w:t>
      </w:r>
    </w:p>
    <w:p>
      <w:r>
        <w:t>- Pathway enrichment (significant pathways with FDR values)</w:t>
      </w:r>
    </w:p>
    <w:p>
      <w:r>
        <w:t>- Cross-cell-type comparison (regulatory role across all 10 cell types)</w:t>
      </w:r>
    </w:p>
    <w:p>
      <w:r>
        <w:t>- Domain-specific insights (cancer, drug, clinical, systems perspectives)</w:t>
      </w:r>
    </w:p>
    <w:p>
      <w:r>
        <w:t>- Key insights summary (aggregated metrics and classifications)</w:t>
      </w:r>
    </w:p>
    <w:p>
      <w:r>
        <w:t>- Workflow metadata (execution time, completed steps)</w:t>
      </w:r>
    </w:p>
    <w:p>
      <w:r>
        <w:t>For multi-gene queries, the integration agent additionally generates comparative analyses and identifies common regulators, shared pathways, and complementary biomarker panels.</w:t>
      </w:r>
    </w:p>
    <w:p>
      <w:pPr>
        <w:pStyle w:val="Heading2"/>
      </w:pPr>
      <w:r>
        <w:t>Model Context Protocol Integration</w:t>
      </w:r>
    </w:p>
    <w:p>
      <w:r>
        <w:t>The RegNetAgents workflow is exposed via a Model Context Protocol (MCP) server, enabling conversational access through Claude Desktop. The MCP server implements eight tools:</w:t>
      </w:r>
    </w:p>
    <w:p>
      <w:r>
        <w:t xml:space="preserve">1. </w:t>
      </w:r>
      <w:r>
        <w:rPr>
          <w:b/>
        </w:rPr>
        <w:t>comprehensive_gene_analysis</w:t>
      </w:r>
      <w:r>
        <w:t>: Full workflow execution (network + regulators + targets + perturbation + pathways + domains)</w:t>
      </w:r>
    </w:p>
    <w:p>
      <w:r>
        <w:t xml:space="preserve">2. </w:t>
      </w:r>
      <w:r>
        <w:rPr>
          <w:b/>
        </w:rPr>
        <w:t>multi_gene_analysis</w:t>
      </w:r>
      <w:r>
        <w:t>: Parallel processing of multiple genes with comparative analysis</w:t>
      </w:r>
    </w:p>
    <w:p>
      <w:r>
        <w:t xml:space="preserve">3. </w:t>
      </w:r>
      <w:r>
        <w:rPr>
          <w:b/>
        </w:rPr>
        <w:t>pathway_focused_analysis</w:t>
      </w:r>
      <w:r>
        <w:t>: Pathway enrichment for user-specified gene lists</w:t>
      </w:r>
    </w:p>
    <w:p>
      <w:r>
        <w:t xml:space="preserve">4. </w:t>
      </w:r>
      <w:r>
        <w:rPr>
          <w:b/>
        </w:rPr>
        <w:t>analyze_regulators</w:t>
      </w:r>
      <w:r>
        <w:t>: Detailed upstream regulator analysis with perturbation</w:t>
      </w:r>
    </w:p>
    <w:p>
      <w:r>
        <w:t xml:space="preserve">5. </w:t>
      </w:r>
      <w:r>
        <w:rPr>
          <w:b/>
        </w:rPr>
        <w:t>analyze_targets</w:t>
      </w:r>
      <w:r>
        <w:t>: Detailed downstream target analysis with cascade effects</w:t>
      </w:r>
    </w:p>
    <w:p>
      <w:r>
        <w:t xml:space="preserve">6. </w:t>
      </w:r>
      <w:r>
        <w:rPr>
          <w:b/>
        </w:rPr>
        <w:t>cross_cell_comparison</w:t>
      </w:r>
      <w:r>
        <w:t>: Regulatory role comparison across all 10 cell types</w:t>
      </w:r>
    </w:p>
    <w:p>
      <w:r>
        <w:t xml:space="preserve">7. </w:t>
      </w:r>
      <w:r>
        <w:rPr>
          <w:b/>
        </w:rPr>
        <w:t>workflow_status</w:t>
      </w:r>
      <w:r>
        <w:t>: Real-time execution monitoring</w:t>
      </w:r>
    </w:p>
    <w:p>
      <w:r>
        <w:t xml:space="preserve">8. </w:t>
      </w:r>
      <w:r>
        <w:rPr>
          <w:b/>
        </w:rPr>
        <w:t>workflow_insights</w:t>
      </w:r>
      <w:r>
        <w:t>: Performance analytics and routing decisions</w:t>
      </w:r>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Pr>
        <w:pStyle w:val="Heading2"/>
      </w:pPr>
      <w:r>
        <w:t>Implementation Details</w:t>
      </w:r>
    </w:p>
    <w:p>
      <w:r>
        <w:t>The system is implemented in Python 3.8+ using LangGraph (v0.1+) for workflow orchestration. 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r>
        <w:t>External API calls (Reactome, Ensembl REST API) use asynchronous requests with 10-second timeouts and exponential backoff retry logic. Parallel agent execution uses Python's concurrent.futures ThreadPoolExecutor with a maximum of 4 concurrent threads.</w:t>
      </w:r>
    </w:p>
    <w:p>
      <w:pPr>
        <w:pStyle w:val="Heading2"/>
      </w:pPr>
      <w:r>
        <w:t>Performance Benchmarking</w:t>
      </w:r>
    </w:p>
    <w:p>
      <w:r>
        <w:t>We measured end-to-end execution time for three analysis scenarios on a standard laptop (Intel i7, 16GB RAM, Windows 11):</w:t>
      </w:r>
    </w:p>
    <w:p>
      <w:r>
        <w:t xml:space="preserve">1. </w:t>
      </w:r>
      <w:r>
        <w:rPr>
          <w:b/>
        </w:rPr>
        <w:t>Single gene comprehensive analysis</w:t>
      </w:r>
      <w:r>
        <w:t>: TP53 in epithelial cells (all workflow steps)</w:t>
      </w:r>
    </w:p>
    <w:p>
      <w:r>
        <w:t xml:space="preserve">2. </w:t>
      </w:r>
      <w:r>
        <w:rPr>
          <w:b/>
        </w:rPr>
        <w:t>Multi-gene analysis</w:t>
      </w:r>
      <w:r>
        <w:t>: 5 genes (MYC, CTNNB1, CCND1, TP53, KRAS) in epithelial cells</w:t>
      </w:r>
    </w:p>
    <w:p>
      <w:r>
        <w:t xml:space="preserve">3. </w:t>
      </w:r>
      <w:r>
        <w:rPr>
          <w:b/>
        </w:rPr>
        <w:t>Cross-cell-type comparison</w:t>
      </w:r>
      <w:r>
        <w:t>: TP53 across all 10 cell types</w:t>
      </w:r>
    </w:p>
    <w:p>
      <w:r>
        <w:t>Each scenario was executed 10 times with cold starts (server restarted between runs). Execution time includes all workflow steps from query initiation to final JSON output, including Reactome API calls.</w:t>
      </w:r>
    </w:p>
    <w:p>
      <w:pPr>
        <w:pStyle w:val="Heading2"/>
      </w:pPr>
      <w:r>
        <w:t>Data Availability</w:t>
      </w:r>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Pr>
        <w:pStyle w:val="Heading1"/>
      </w:pPr>
      <w:r>
        <w:t>RESULTS</w:t>
      </w:r>
    </w:p>
    <w:p>
      <w:pPr>
        <w:pStyle w:val="Heading2"/>
      </w:pPr>
      <w:r>
        <w:t>Validation Summary</w:t>
      </w:r>
    </w:p>
    <w:p>
      <w:r>
        <w:t>Framework validation against established colorectal cancer biology demonstrated:</w:t>
      </w:r>
    </w:p>
    <w:p>
      <w:r>
        <w:t xml:space="preserve">- </w:t>
      </w:r>
      <w:r>
        <w:rPr>
          <w:b/>
        </w:rPr>
        <w:t>100% concordance</w:t>
      </w:r>
      <w:r>
        <w:t xml:space="preserve"> with published biomarker classifications (5/5 genes correctly classified)</w:t>
      </w:r>
    </w:p>
    <w:p>
      <w:r>
        <w:t xml:space="preserve">- </w:t>
      </w:r>
      <w:r>
        <w:rPr>
          <w:b/>
        </w:rPr>
        <w:t>Successful prediction</w:t>
      </w:r>
      <w:r>
        <w:t xml:space="preserve"> of experimentally validated TP53 regulators from Hippo pathway (WWTR1, YAP1, CHD4)</w:t>
      </w:r>
    </w:p>
    <w:p>
      <w:r>
        <w:t xml:space="preserve">- </w:t>
      </w:r>
      <w:r>
        <w:rPr>
          <w:b/>
        </w:rPr>
        <w:t>Pathway coherence</w:t>
      </w:r>
      <w:r>
        <w:t xml:space="preserve"> between network topology and biological pathways (Hippo signaling enrichment, FDR = 0.020)</w:t>
      </w:r>
    </w:p>
    <w:p>
      <w:r>
        <w:t xml:space="preserve">- </w:t>
      </w:r>
      <w:r>
        <w:rPr>
          <w:b/>
        </w:rPr>
        <w:t>Novel hypothesis generation</w:t>
      </w:r>
      <w:r>
        <w:t xml:space="preserve"> for experimental validation (RBPMS, PRRX2)</w:t>
      </w:r>
    </w:p>
    <w:p>
      <w:r>
        <w:t>These results demonstrate the framework produces biologically meaningful outputs suitable for hypothesis generation and experimental prioritization.</w:t>
      </w:r>
    </w:p>
    <w:p>
      <w:pPr>
        <w:pStyle w:val="Heading2"/>
      </w:pPr>
      <w:r>
        <w:t>System Performance</w:t>
      </w:r>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r>
        <w:rPr>
          <w:b/>
        </w:rPr>
        <w:t>Rule-based mode</w:t>
      </w:r>
      <w:r>
        <w:t xml:space="preserv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r>
        <w:rPr>
          <w:b/>
        </w:rPr>
        <w:t>LLM-powered mode</w:t>
      </w:r>
      <w:r>
        <w:t xml:space="preserv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r>
        <w:rPr>
          <w:b/>
        </w:rPr>
        <w:t>Table 1. Performance Benchmarks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Type</w:t>
            </w:r>
          </w:p>
        </w:tc>
        <w:tc>
          <w:tcPr>
            <w:tcW w:type="dxa" w:w="2160"/>
          </w:tcPr>
          <w:p>
            <w:r>
              <w:rPr>
                <w:b/>
              </w:rPr>
              <w:t>Genes</w:t>
            </w:r>
          </w:p>
        </w:tc>
        <w:tc>
          <w:tcPr>
            <w:tcW w:type="dxa" w:w="2160"/>
          </w:tcPr>
          <w:p>
            <w:r>
              <w:rPr>
                <w:b/>
              </w:rPr>
              <w:t>Execution Time</w:t>
            </w:r>
          </w:p>
        </w:tc>
        <w:tc>
          <w:tcPr>
            <w:tcW w:type="dxa" w:w="2160"/>
          </w:tcPr>
          <w:p>
            <w:r>
              <w:rPr>
                <w:b/>
              </w:rPr>
              <w:t>Components</w:t>
            </w:r>
          </w:p>
        </w:tc>
      </w:tr>
      <w:tr>
        <w:tc>
          <w:tcPr>
            <w:tcW w:type="dxa" w:w="2160"/>
          </w:tcPr>
          <w:p>
            <w:r>
              <w:t>Focused (rule-based)</w:t>
            </w:r>
          </w:p>
        </w:tc>
        <w:tc>
          <w:tcPr>
            <w:tcW w:type="dxa" w:w="2160"/>
          </w:tcPr>
          <w:p>
            <w:r>
              <w:t>TP53</w:t>
            </w:r>
          </w:p>
        </w:tc>
        <w:tc>
          <w:tcPr>
            <w:tcW w:type="dxa" w:w="2160"/>
          </w:tcPr>
          <w:p>
            <w:r>
              <w:t>0.68 sec</w:t>
            </w:r>
          </w:p>
        </w:tc>
        <w:tc>
          <w:tcPr>
            <w:tcW w:type="dxa" w:w="2160"/>
          </w:tcPr>
          <w:p>
            <w:r>
              <w:t>Network lookup, regulators, targets, complete perturbation (all 7 regulators)</w:t>
            </w:r>
          </w:p>
        </w:tc>
      </w:tr>
      <w:tr>
        <w:tc>
          <w:tcPr>
            <w:tcW w:type="dxa" w:w="2160"/>
          </w:tcPr>
          <w:p>
            <w:r>
              <w:t>Comprehensive (rule-based)</w:t>
            </w:r>
          </w:p>
        </w:tc>
        <w:tc>
          <w:tcPr>
            <w:tcW w:type="dxa" w:w="2160"/>
          </w:tcPr>
          <w:p>
            <w:r>
              <w:t>TP53</w:t>
            </w:r>
          </w:p>
        </w:tc>
        <w:tc>
          <w:tcPr>
            <w:tcW w:type="dxa" w:w="2160"/>
          </w:tcPr>
          <w:p>
            <w:r>
              <w:t>0.60 sec</w:t>
            </w:r>
          </w:p>
        </w:tc>
        <w:tc>
          <w:tcPr>
            <w:tcW w:type="dxa" w:w="2160"/>
          </w:tcPr>
          <w:p>
            <w:r>
              <w:t>Network analysis + Reactome pathway enrichment (16 pathways, FDR correction)</w:t>
            </w:r>
          </w:p>
        </w:tc>
      </w:tr>
      <w:tr>
        <w:tc>
          <w:tcPr>
            <w:tcW w:type="dxa" w:w="2160"/>
          </w:tcPr>
          <w:p>
            <w:r>
              <w:t>Comprehensive (LLM-powered)</w:t>
            </w:r>
          </w:p>
        </w:tc>
        <w:tc>
          <w:tcPr>
            <w:tcW w:type="dxa" w:w="2160"/>
          </w:tcPr>
          <w:p>
            <w:r>
              <w:t>TP53</w:t>
            </w:r>
          </w:p>
        </w:tc>
        <w:tc>
          <w:tcPr>
            <w:tcW w:type="dxa" w:w="2160"/>
          </w:tcPr>
          <w:p>
            <w:r>
              <w:t>~15 sec</w:t>
            </w:r>
          </w:p>
        </w:tc>
        <w:tc>
          <w:tcPr>
            <w:tcW w:type="dxa" w:w="2160"/>
          </w:tcPr>
          <w:p>
            <w:r>
              <w:t>Network + perturbation + pathways + 4 LLM agents with scientific rationales</w:t>
            </w:r>
          </w:p>
        </w:tc>
      </w:tr>
      <w:tr>
        <w:tc>
          <w:tcPr>
            <w:tcW w:type="dxa" w:w="2160"/>
          </w:tcPr>
          <w:p>
            <w:r>
              <w:t>Multi-gene (rule-based)</w:t>
            </w:r>
          </w:p>
        </w:tc>
        <w:tc>
          <w:tcPr>
            <w:tcW w:type="dxa" w:w="2160"/>
          </w:tcPr>
          <w:p>
            <w:r>
              <w:t>5 genes</w:t>
            </w:r>
          </w:p>
        </w:tc>
        <w:tc>
          <w:tcPr>
            <w:tcW w:type="dxa" w:w="2160"/>
          </w:tcPr>
          <w:p>
            <w:r>
              <w:t>15.49 sec</w:t>
            </w:r>
          </w:p>
        </w:tc>
        <w:tc>
          <w:tcPr>
            <w:tcW w:type="dxa" w:w="2160"/>
          </w:tcPr>
          <w:p>
            <w:r>
              <w:t>Network analysis, complete perturbation (all 99 regulators, parallel execution)</w:t>
            </w:r>
          </w:p>
        </w:tc>
      </w:tr>
      <w:tr>
        <w:tc>
          <w:tcPr>
            <w:tcW w:type="dxa" w:w="2160"/>
          </w:tcPr>
          <w:p>
            <w:r>
              <w:t>Multi-gene (LLM-powered)</w:t>
            </w:r>
          </w:p>
        </w:tc>
        <w:tc>
          <w:tcPr>
            <w:tcW w:type="dxa" w:w="2160"/>
          </w:tcPr>
          <w:p>
            <w:r>
              <w:t>5 genes</w:t>
            </w:r>
          </w:p>
        </w:tc>
        <w:tc>
          <w:tcPr>
            <w:tcW w:type="dxa" w:w="2160"/>
          </w:tcPr>
          <w:p>
            <w:r>
              <w:t>~62 sec</w:t>
            </w:r>
          </w:p>
        </w:tc>
        <w:tc>
          <w:tcPr>
            <w:tcW w:type="dxa" w:w="2160"/>
          </w:tcPr>
          <w:p>
            <w:r>
              <w:t>Network + perturbation (99 regulators) + pathways + 4 parallel LLM agents</w:t>
            </w:r>
          </w:p>
        </w:tc>
      </w:tr>
      <w:tr>
        <w:tc>
          <w:tcPr>
            <w:tcW w:type="dxa" w:w="2160"/>
          </w:tcPr>
          <w:p>
            <w:r>
              <w:t>Cross-cell comparison</w:t>
            </w:r>
          </w:p>
        </w:tc>
        <w:tc>
          <w:tcPr>
            <w:tcW w:type="dxa" w:w="2160"/>
          </w:tcPr>
          <w:p>
            <w:r>
              <w:t>TP53, 10 types</w:t>
            </w:r>
          </w:p>
        </w:tc>
        <w:tc>
          <w:tcPr>
            <w:tcW w:type="dxa" w:w="2160"/>
          </w:tcPr>
          <w:p>
            <w:r>
              <w:t>&lt;0.01 sec</w:t>
            </w:r>
          </w:p>
        </w:tc>
        <w:tc>
          <w:tcPr>
            <w:tcW w:type="dxa" w:w="216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Pr>
        <w:pStyle w:val="Heading2"/>
      </w:pPr>
      <w:r>
        <w:t>Workflow Automation and Performance</w:t>
      </w:r>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Pr>
        <w:pStyle w:val="Heading2"/>
      </w:pPr>
      <w:r>
        <w:t>LLM-Powered Domain Analysis Adds Scientific Context</w:t>
      </w:r>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Pr>
        <w:pStyle w:val="Heading2"/>
      </w:pPr>
      <w:r>
        <w:t>Demonstration Case Study: Colorectal Cancer Biomarker Analysis</w:t>
      </w:r>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r>
        <w:t>#### Multi-Gene Regulatory Network Analysis</w:t>
      </w:r>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terminal target profiles with no identified downstream regulatory relationships in the epithelial network: CCND1 (0 targets, 42 regulators) and KRAS (0 targets, 7 regulators), indicating they function as end-point effectors in signaling cascades.</w:t>
      </w:r>
    </w:p>
    <w:p>
      <w:r>
        <w:rPr>
          <w:b/>
        </w:rPr>
        <w:t>Table 2. Colorectal Cancer Biomarker Panel Analysis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Gene</w:t>
            </w:r>
          </w:p>
        </w:tc>
        <w:tc>
          <w:tcPr>
            <w:tcW w:type="dxa" w:w="1440"/>
          </w:tcPr>
          <w:p>
            <w:r>
              <w:rPr>
                <w:b/>
              </w:rPr>
              <w:t>Regulatory Role</w:t>
            </w:r>
          </w:p>
        </w:tc>
        <w:tc>
          <w:tcPr>
            <w:tcW w:type="dxa" w:w="1440"/>
          </w:tcPr>
          <w:p>
            <w:r>
              <w:rPr>
                <w:b/>
              </w:rPr>
              <w:t>Targets</w:t>
            </w:r>
          </w:p>
        </w:tc>
        <w:tc>
          <w:tcPr>
            <w:tcW w:type="dxa" w:w="1440"/>
          </w:tcPr>
          <w:p>
            <w:r>
              <w:rPr>
                <w:b/>
              </w:rPr>
              <w:t>Regulators</w:t>
            </w:r>
          </w:p>
        </w:tc>
        <w:tc>
          <w:tcPr>
            <w:tcW w:type="dxa" w:w="1440"/>
          </w:tcPr>
          <w:p>
            <w:r>
              <w:rPr>
                <w:b/>
              </w:rPr>
              <w:t>Biomarker Type</w:t>
            </w:r>
          </w:p>
        </w:tc>
        <w:tc>
          <w:tcPr>
            <w:tcW w:type="dxa" w:w="1440"/>
          </w:tcPr>
          <w:p>
            <w:r>
              <w:rPr>
                <w:b/>
              </w:rPr>
              <w:t>Top Candidate Regulator (PageRank)</w:t>
            </w:r>
          </w:p>
        </w:tc>
      </w:tr>
      <w:tr>
        <w:tc>
          <w:tcPr>
            <w:tcW w:type="dxa" w:w="1440"/>
          </w:tcPr>
          <w:p>
            <w:r>
              <w:t>MYC</w:t>
            </w:r>
          </w:p>
        </w:tc>
        <w:tc>
          <w:tcPr>
            <w:tcW w:type="dxa" w:w="1440"/>
          </w:tcPr>
          <w:p>
            <w:r>
              <w:t>Hub Regulator</w:t>
            </w:r>
          </w:p>
        </w:tc>
        <w:tc>
          <w:tcPr>
            <w:tcW w:type="dxa" w:w="1440"/>
          </w:tcPr>
          <w:p>
            <w:r>
              <w:t>427</w:t>
            </w:r>
          </w:p>
        </w:tc>
        <w:tc>
          <w:tcPr>
            <w:tcW w:type="dxa" w:w="1440"/>
          </w:tcPr>
          <w:p>
            <w:r>
              <w:t>25</w:t>
            </w:r>
          </w:p>
        </w:tc>
        <w:tc>
          <w:tcPr>
            <w:tcW w:type="dxa" w:w="1440"/>
          </w:tcPr>
          <w:p>
            <w:r>
              <w:t>Diagnostic</w:t>
            </w:r>
          </w:p>
        </w:tc>
        <w:tc>
          <w:tcPr>
            <w:tcW w:type="dxa" w:w="1440"/>
          </w:tcPr>
          <w:p>
            <w:r>
              <w:t>ID4 (0.622)</w:t>
            </w:r>
          </w:p>
        </w:tc>
      </w:tr>
      <w:tr>
        <w:tc>
          <w:tcPr>
            <w:tcW w:type="dxa" w:w="1440"/>
          </w:tcPr>
          <w:p>
            <w:r>
              <w:t>CTNNB1</w:t>
            </w:r>
          </w:p>
        </w:tc>
        <w:tc>
          <w:tcPr>
            <w:tcW w:type="dxa" w:w="1440"/>
          </w:tcPr>
          <w:p>
            <w:r>
              <w:t>Hub Regulator</w:t>
            </w:r>
          </w:p>
        </w:tc>
        <w:tc>
          <w:tcPr>
            <w:tcW w:type="dxa" w:w="1440"/>
          </w:tcPr>
          <w:p>
            <w:r>
              <w:t>310</w:t>
            </w:r>
          </w:p>
        </w:tc>
        <w:tc>
          <w:tcPr>
            <w:tcW w:type="dxa" w:w="1440"/>
          </w:tcPr>
          <w:p>
            <w:r>
              <w:t>18</w:t>
            </w:r>
          </w:p>
        </w:tc>
        <w:tc>
          <w:tcPr>
            <w:tcW w:type="dxa" w:w="1440"/>
          </w:tcPr>
          <w:p>
            <w:r>
              <w:t>Diagnostic</w:t>
            </w:r>
          </w:p>
        </w:tc>
        <w:tc>
          <w:tcPr>
            <w:tcW w:type="dxa" w:w="1440"/>
          </w:tcPr>
          <w:p>
            <w:r>
              <w:t>CHD2 (0.530)</w:t>
            </w:r>
          </w:p>
        </w:tc>
      </w:tr>
      <w:tr>
        <w:tc>
          <w:tcPr>
            <w:tcW w:type="dxa" w:w="1440"/>
          </w:tcPr>
          <w:p>
            <w:r>
              <w:t>CCND1</w:t>
            </w:r>
          </w:p>
        </w:tc>
        <w:tc>
          <w:tcPr>
            <w:tcW w:type="dxa" w:w="1440"/>
          </w:tcPr>
          <w:p>
            <w:r>
              <w:t>Terminal Target</w:t>
            </w:r>
          </w:p>
        </w:tc>
        <w:tc>
          <w:tcPr>
            <w:tcW w:type="dxa" w:w="1440"/>
          </w:tcPr>
          <w:p>
            <w:r>
              <w:t>0</w:t>
            </w:r>
          </w:p>
        </w:tc>
        <w:tc>
          <w:tcPr>
            <w:tcW w:type="dxa" w:w="1440"/>
          </w:tcPr>
          <w:p>
            <w:r>
              <w:t>42</w:t>
            </w:r>
          </w:p>
        </w:tc>
        <w:tc>
          <w:tcPr>
            <w:tcW w:type="dxa" w:w="1440"/>
          </w:tcPr>
          <w:p>
            <w:r>
              <w:t>Diagnostic</w:t>
            </w:r>
          </w:p>
        </w:tc>
        <w:tc>
          <w:tcPr>
            <w:tcW w:type="dxa" w:w="1440"/>
          </w:tcPr>
          <w:p>
            <w:r>
              <w:t>ZBTB20 (0.600)</w:t>
            </w:r>
          </w:p>
        </w:tc>
      </w:tr>
      <w:tr>
        <w:tc>
          <w:tcPr>
            <w:tcW w:type="dxa" w:w="1440"/>
          </w:tcPr>
          <w:p>
            <w:r>
              <w:t>TP53</w:t>
            </w:r>
          </w:p>
        </w:tc>
        <w:tc>
          <w:tcPr>
            <w:tcW w:type="dxa" w:w="1440"/>
          </w:tcPr>
          <w:p>
            <w:r>
              <w:t>Hub Regulator</w:t>
            </w:r>
          </w:p>
        </w:tc>
        <w:tc>
          <w:tcPr>
            <w:tcW w:type="dxa" w:w="1440"/>
          </w:tcPr>
          <w:p>
            <w:r>
              <w:t>163</w:t>
            </w:r>
          </w:p>
        </w:tc>
        <w:tc>
          <w:tcPr>
            <w:tcW w:type="dxa" w:w="1440"/>
          </w:tcPr>
          <w:p>
            <w:r>
              <w:t>7</w:t>
            </w:r>
          </w:p>
        </w:tc>
        <w:tc>
          <w:tcPr>
            <w:tcW w:type="dxa" w:w="1440"/>
          </w:tcPr>
          <w:p>
            <w:r>
              <w:t>Prognostic</w:t>
            </w:r>
          </w:p>
        </w:tc>
        <w:tc>
          <w:tcPr>
            <w:tcW w:type="dxa" w:w="1440"/>
          </w:tcPr>
          <w:p>
            <w:r>
              <w:t>**WWTR1 (0.473)**</w:t>
            </w:r>
          </w:p>
        </w:tc>
      </w:tr>
      <w:tr>
        <w:tc>
          <w:tcPr>
            <w:tcW w:type="dxa" w:w="1440"/>
          </w:tcPr>
          <w:p>
            <w:r>
              <w:t>KRAS</w:t>
            </w:r>
          </w:p>
        </w:tc>
        <w:tc>
          <w:tcPr>
            <w:tcW w:type="dxa" w:w="1440"/>
          </w:tcPr>
          <w:p>
            <w:r>
              <w:t>Terminal Target</w:t>
            </w:r>
          </w:p>
        </w:tc>
        <w:tc>
          <w:tcPr>
            <w:tcW w:type="dxa" w:w="1440"/>
          </w:tcPr>
          <w:p>
            <w:r>
              <w:t>0</w:t>
            </w:r>
          </w:p>
        </w:tc>
        <w:tc>
          <w:tcPr>
            <w:tcW w:type="dxa" w:w="1440"/>
          </w:tcPr>
          <w:p>
            <w:r>
              <w:t>7</w:t>
            </w:r>
          </w:p>
        </w:tc>
        <w:tc>
          <w:tcPr>
            <w:tcW w:type="dxa" w:w="1440"/>
          </w:tcPr>
          <w:p>
            <w:r>
              <w:t>Predictive</w:t>
            </w:r>
          </w:p>
        </w:tc>
        <w:tc>
          <w:tcPr>
            <w:tcW w:type="dxa" w:w="1440"/>
          </w:tcPr>
          <w:p>
            <w:r>
              <w:t>GPBP1 (0.609)</w:t>
            </w:r>
          </w:p>
        </w:tc>
      </w:tr>
    </w:tbl>
    <w:p/>
    <w:p>
      <w:r>
        <w:t>*Perturbation analysis performed for all five genes - all upstream regulators analyzed (25, 18, 42, 7, and 7 regulators respectively, total of 99 regulators). The system simulates inhibiting each upstream regulator and ranks candidate targets using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r>
        <w:t>#### Biomarker Classification and Validation</w:t>
      </w:r>
    </w:p>
    <w:p>
      <w:r>
        <w:t>RegNetAgents automatically classified biomarker types based on regulatory architecture and domain agent analysis:</w:t>
      </w:r>
    </w:p>
    <w:p>
      <w:r>
        <w:rPr>
          <w:b/>
        </w:rPr>
        <w:t>Diagnostic Biomarkers (MYC, CTNNB1, CCND1):</w:t>
      </w:r>
      <w:r>
        <w:t xml:space="preserve">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(19,20); CTNNB1 mutations/dysregulation occur in 40-80% of CRCs via APC loss and Wnt activation (21,22); CCND1 overexpression occurs in 30-60% of CRCs and drives G1/S transition (23).</w:t>
      </w:r>
    </w:p>
    <w:p>
      <w:r>
        <w:rPr>
          <w:b/>
        </w:rPr>
        <w:t>Prognostic Biomarker (TP53):</w:t>
      </w:r>
      <w:r>
        <w:t xml:space="preserve"> Hub regulator with high network centrality and enrichment in TP53-regulation pathways. TP53 status predicts patient outcomes and treatment response. Literature validation: TP53 mutations occur in 50-70% of CRCs and associate with advanced stage, metastasis, and poor survival (24,25).</w:t>
      </w:r>
    </w:p>
    <w:p>
      <w:r>
        <w:rPr>
          <w:b/>
        </w:rPr>
        <w:t>Predictive Biomarker (KRAS):</w:t>
      </w:r>
      <w:r>
        <w:t xml:space="preserve"> Target gene with moderate clinical actionability. KRAS status predicts response to specific therapies (anti-EGFR antibodies). Literature validation: KRAS mutations occur in 40-45% of CRCs and confer resistance to cetuximab/panitumumab (26,27).</w:t>
      </w:r>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terminal targets (CCND1, KRAS)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Pr>
        <w:pStyle w:val="Heading2"/>
      </w:pPr>
      <w:r>
        <w:t>Perturbation Analysis: TP53 Candidate Regulator Prioritization</w:t>
      </w:r>
    </w:p>
    <w:p>
      <w:r>
        <w:t>To illustrate framework capabilities for hypothesis generation, we performed automated perturbation analysis on TP53, which has 7 upstream regulators in epithelial cells. The analysis simulates inhibiting each regulator individually and ranks candidates using network centrality metrics (Table 3, Figure 3). These rankings serve as hypotheses for experimental validation, not predictions of therapeutic efficacy.</w:t>
      </w:r>
    </w:p>
    <w:p>
      <w:r>
        <w:rPr>
          <w:b/>
        </w:rPr>
        <w:t>Table 3. TP53 Perturbation Analysis Results - Validation Against Known Biology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Regulator</w:t>
            </w:r>
          </w:p>
        </w:tc>
        <w:tc>
          <w:tcPr>
            <w:tcW w:type="dxa" w:w="1440"/>
          </w:tcPr>
          <w:p>
            <w:r>
              <w:rPr>
                <w:b/>
              </w:rPr>
              <w:t>PageRank</w:t>
            </w:r>
          </w:p>
        </w:tc>
        <w:tc>
          <w:tcPr>
            <w:tcW w:type="dxa" w:w="1440"/>
          </w:tcPr>
          <w:p>
            <w:r>
              <w:rPr>
                <w:b/>
              </w:rPr>
              <w:t>Out-Degree Centrality</w:t>
            </w:r>
          </w:p>
        </w:tc>
        <w:tc>
          <w:tcPr>
            <w:tcW w:type="dxa" w:w="1440"/>
          </w:tcPr>
          <w:p>
            <w:r>
              <w:rPr>
                <w:b/>
              </w:rPr>
              <w:t>Downstream Targets</w:t>
            </w:r>
          </w:p>
        </w:tc>
        <w:tc>
          <w:tcPr>
            <w:tcW w:type="dxa" w:w="1440"/>
          </w:tcPr>
          <w:p>
            <w:r>
              <w:rPr>
                <w:b/>
              </w:rPr>
              <w:t>Validation Status</w:t>
            </w:r>
          </w:p>
        </w:tc>
      </w:tr>
      <w:tr>
        <w:tc>
          <w:tcPr>
            <w:tcW w:type="dxa" w:w="1440"/>
          </w:tcPr>
          <w:p>
            <w:r>
              <w:t>1</w:t>
            </w:r>
          </w:p>
        </w:tc>
        <w:tc>
          <w:tcPr>
            <w:tcW w:type="dxa" w:w="1440"/>
          </w:tcPr>
          <w:p>
            <w:r>
              <w:t>WWTR1</w:t>
            </w:r>
          </w:p>
        </w:tc>
        <w:tc>
          <w:tcPr>
            <w:tcW w:type="dxa" w:w="1440"/>
          </w:tcPr>
          <w:p>
            <w:r>
              <w:t>0.473</w:t>
            </w:r>
          </w:p>
        </w:tc>
        <w:tc>
          <w:tcPr>
            <w:tcW w:type="dxa" w:w="1440"/>
          </w:tcPr>
          <w:p>
            <w:r>
              <w:t>0.020</w:t>
            </w:r>
          </w:p>
        </w:tc>
        <w:tc>
          <w:tcPr>
            <w:tcW w:type="dxa" w:w="1440"/>
          </w:tcPr>
          <w:p>
            <w:r>
              <w:t>293</w:t>
            </w:r>
          </w:p>
        </w:tc>
        <w:tc>
          <w:tcPr>
            <w:tcW w:type="dxa" w:w="1440"/>
          </w:tcPr>
          <w:p>
            <w:r>
              <w:t>[check] Validated</w:t>
            </w:r>
          </w:p>
        </w:tc>
      </w:tr>
      <w:tr>
        <w:tc>
          <w:tcPr>
            <w:tcW w:type="dxa" w:w="1440"/>
          </w:tcPr>
          <w:p>
            <w:r>
              <w:t>2</w:t>
            </w:r>
          </w:p>
        </w:tc>
        <w:tc>
          <w:tcPr>
            <w:tcW w:type="dxa" w:w="1440"/>
          </w:tcPr>
          <w:p>
            <w:r>
              <w:t>RBPMS</w:t>
            </w:r>
          </w:p>
        </w:tc>
        <w:tc>
          <w:tcPr>
            <w:tcW w:type="dxa" w:w="1440"/>
          </w:tcPr>
          <w:p>
            <w:r>
              <w:t>0.469</w:t>
            </w:r>
          </w:p>
        </w:tc>
        <w:tc>
          <w:tcPr>
            <w:tcW w:type="dxa" w:w="1440"/>
          </w:tcPr>
          <w:p>
            <w:r>
              <w:t>0.028</w:t>
            </w:r>
          </w:p>
        </w:tc>
        <w:tc>
          <w:tcPr>
            <w:tcW w:type="dxa" w:w="1440"/>
          </w:tcPr>
          <w:p>
            <w:r>
              <w:t>403</w:t>
            </w:r>
          </w:p>
        </w:tc>
        <w:tc>
          <w:tcPr>
            <w:tcW w:type="dxa" w:w="1440"/>
          </w:tcPr>
          <w:p>
            <w:r>
              <w:t>Novel</w:t>
            </w:r>
          </w:p>
        </w:tc>
      </w:tr>
      <w:tr>
        <w:tc>
          <w:tcPr>
            <w:tcW w:type="dxa" w:w="1440"/>
          </w:tcPr>
          <w:p>
            <w:r>
              <w:t>3</w:t>
            </w:r>
          </w:p>
        </w:tc>
        <w:tc>
          <w:tcPr>
            <w:tcW w:type="dxa" w:w="1440"/>
          </w:tcPr>
          <w:p>
            <w:r>
              <w:t>PRRX2</w:t>
            </w:r>
          </w:p>
        </w:tc>
        <w:tc>
          <w:tcPr>
            <w:tcW w:type="dxa" w:w="1440"/>
          </w:tcPr>
          <w:p>
            <w:r>
              <w:t>0.454</w:t>
            </w:r>
          </w:p>
        </w:tc>
        <w:tc>
          <w:tcPr>
            <w:tcW w:type="dxa" w:w="1440"/>
          </w:tcPr>
          <w:p>
            <w:r>
              <w:t>0.006</w:t>
            </w:r>
          </w:p>
        </w:tc>
        <w:tc>
          <w:tcPr>
            <w:tcW w:type="dxa" w:w="1440"/>
          </w:tcPr>
          <w:p>
            <w:r>
              <w:t>93</w:t>
            </w:r>
          </w:p>
        </w:tc>
        <w:tc>
          <w:tcPr>
            <w:tcW w:type="dxa" w:w="1440"/>
          </w:tcPr>
          <w:p>
            <w:r>
              <w:t>Novel</w:t>
            </w:r>
          </w:p>
        </w:tc>
      </w:tr>
      <w:tr>
        <w:tc>
          <w:tcPr>
            <w:tcW w:type="dxa" w:w="1440"/>
          </w:tcPr>
          <w:p>
            <w:r>
              <w:t>4</w:t>
            </w:r>
          </w:p>
        </w:tc>
        <w:tc>
          <w:tcPr>
            <w:tcW w:type="dxa" w:w="1440"/>
          </w:tcPr>
          <w:p>
            <w:r>
              <w:t>CHD4</w:t>
            </w:r>
          </w:p>
        </w:tc>
        <w:tc>
          <w:tcPr>
            <w:tcW w:type="dxa" w:w="1440"/>
          </w:tcPr>
          <w:p>
            <w:r>
              <w:t>0.443</w:t>
            </w:r>
          </w:p>
        </w:tc>
        <w:tc>
          <w:tcPr>
            <w:tcW w:type="dxa" w:w="1440"/>
          </w:tcPr>
          <w:p>
            <w:r>
              <w:t>0.017</w:t>
            </w:r>
          </w:p>
        </w:tc>
        <w:tc>
          <w:tcPr>
            <w:tcW w:type="dxa" w:w="1440"/>
          </w:tcPr>
          <w:p>
            <w:r>
              <w:t>243</w:t>
            </w:r>
          </w:p>
        </w:tc>
        <w:tc>
          <w:tcPr>
            <w:tcW w:type="dxa" w:w="1440"/>
          </w:tcPr>
          <w:p>
            <w:r>
              <w:t>[check] Validated</w:t>
            </w:r>
          </w:p>
        </w:tc>
      </w:tr>
      <w:tr>
        <w:tc>
          <w:tcPr>
            <w:tcW w:type="dxa" w:w="1440"/>
          </w:tcPr>
          <w:p>
            <w:r>
              <w:t>5</w:t>
            </w:r>
          </w:p>
        </w:tc>
        <w:tc>
          <w:tcPr>
            <w:tcW w:type="dxa" w:w="1440"/>
          </w:tcPr>
          <w:p>
            <w:r>
              <w:t>THRA</w:t>
            </w:r>
          </w:p>
        </w:tc>
        <w:tc>
          <w:tcPr>
            <w:tcW w:type="dxa" w:w="1440"/>
          </w:tcPr>
          <w:p>
            <w:r>
              <w:t>0.408</w:t>
            </w:r>
          </w:p>
        </w:tc>
        <w:tc>
          <w:tcPr>
            <w:tcW w:type="dxa" w:w="1440"/>
          </w:tcPr>
          <w:p>
            <w:r>
              <w:t>0.006</w:t>
            </w:r>
          </w:p>
        </w:tc>
        <w:tc>
          <w:tcPr>
            <w:tcW w:type="dxa" w:w="1440"/>
          </w:tcPr>
          <w:p>
            <w:r>
              <w:t>81</w:t>
            </w:r>
          </w:p>
        </w:tc>
        <w:tc>
          <w:tcPr>
            <w:tcW w:type="dxa" w:w="1440"/>
          </w:tcPr>
          <w:p>
            <w:r>
              <w:t>Novel</w:t>
            </w:r>
          </w:p>
        </w:tc>
      </w:tr>
      <w:tr>
        <w:tc>
          <w:tcPr>
            <w:tcW w:type="dxa" w:w="1440"/>
          </w:tcPr>
          <w:p>
            <w:r>
              <w:t>6</w:t>
            </w:r>
          </w:p>
        </w:tc>
        <w:tc>
          <w:tcPr>
            <w:tcW w:type="dxa" w:w="1440"/>
          </w:tcPr>
          <w:p>
            <w:r>
              <w:t>YAP1</w:t>
            </w:r>
          </w:p>
        </w:tc>
        <w:tc>
          <w:tcPr>
            <w:tcW w:type="dxa" w:w="1440"/>
          </w:tcPr>
          <w:p>
            <w:r>
              <w:t>0.402</w:t>
            </w:r>
          </w:p>
        </w:tc>
        <w:tc>
          <w:tcPr>
            <w:tcW w:type="dxa" w:w="1440"/>
          </w:tcPr>
          <w:p>
            <w:r>
              <w:t>0.014</w:t>
            </w:r>
          </w:p>
        </w:tc>
        <w:tc>
          <w:tcPr>
            <w:tcW w:type="dxa" w:w="1440"/>
          </w:tcPr>
          <w:p>
            <w:r>
              <w:t>207</w:t>
            </w:r>
          </w:p>
        </w:tc>
        <w:tc>
          <w:tcPr>
            <w:tcW w:type="dxa" w:w="1440"/>
          </w:tcPr>
          <w:p>
            <w:r>
              <w:t>[check] Validated</w:t>
            </w:r>
          </w:p>
        </w:tc>
      </w:tr>
      <w:tr>
        <w:tc>
          <w:tcPr>
            <w:tcW w:type="dxa" w:w="1440"/>
          </w:tcPr>
          <w:p>
            <w:r>
              <w:t>7</w:t>
            </w:r>
          </w:p>
        </w:tc>
        <w:tc>
          <w:tcPr>
            <w:tcW w:type="dxa" w:w="1440"/>
          </w:tcPr>
          <w:p>
            <w:r>
              <w:t>IKZF2</w:t>
            </w:r>
          </w:p>
        </w:tc>
        <w:tc>
          <w:tcPr>
            <w:tcW w:type="dxa" w:w="1440"/>
          </w:tcPr>
          <w:p>
            <w:r>
              <w:t>0.399</w:t>
            </w:r>
          </w:p>
        </w:tc>
        <w:tc>
          <w:tcPr>
            <w:tcW w:type="dxa" w:w="1440"/>
          </w:tcPr>
          <w:p>
            <w:r>
              <w:t>0.008</w:t>
            </w:r>
          </w:p>
        </w:tc>
        <w:tc>
          <w:tcPr>
            <w:tcW w:type="dxa" w:w="1440"/>
          </w:tcPr>
          <w:p>
            <w:r>
              <w:t>112</w:t>
            </w:r>
          </w:p>
        </w:tc>
        <w:tc>
          <w:tcPr>
            <w:tcW w:type="dxa" w:w="1440"/>
          </w:tcPr>
          <w:p>
            <w:r>
              <w:t>Novel</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Validation status indicates whether literature supports TP53 regulatory relationships. Three of seven top-ranked regulators (WWTR1, CHD4, YAP1) have experimental validation, demonstrating framework successfully identifies known regulators from network topology alone. Novel candidates (RBPMS, PRRX2, THRA, IKZF2) represent testable hypotheses prioritized for experimental validation.*</w:t>
      </w:r>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r>
        <w:t>#### Literature Comparison for Top-Ranked Candidates</w:t>
      </w:r>
    </w:p>
    <w:p>
      <w:r>
        <w:t>We compared the top 3 network-ranked candidates (by PageRank) against published literature to assess whether topology-based ranking recapitulates known biology:</w:t>
      </w:r>
    </w:p>
    <w:p>
      <w:r>
        <w:rPr>
          <w:b/>
        </w:rPr>
        <w:t>WWTR1 (TAZ):</w:t>
      </w:r>
      <w:r>
        <w:t xml:space="preserve"> WW domain-containing transcription regulator 1, also known as TAZ, is a Hippo pathway effector. Literature confirms WWTR1/TAZ interacts with TP53 and modulates its transcriptional activity, particularly in cancer contexts (28). WWTR1 regulates TP53 stability and localization, influencing cell fate decisions between proliferation and apoptosis (29). The high PageRank ranking correctly identifies WWTR1 as a central network node consistent with its known role as a signaling hub.</w:t>
      </w:r>
    </w:p>
    <w:p>
      <w:r>
        <w:rPr>
          <w:b/>
        </w:rPr>
        <w:t>RBPMS:</w:t>
      </w:r>
      <w:r>
        <w:t xml:space="preserve"> RNA-binding protein with multiple splicing, implicated in epithelial-mesenchymal transition (EMT) and cancer progression (30). While RBPMS shows the highest degree centrality (most connections), limited direct TP53 regulation literature exists. This represents a testable hypothesis prioritized by network topology for experimental follow-up.</w:t>
      </w:r>
    </w:p>
    <w:p>
      <w:r>
        <w:rPr>
          <w:b/>
        </w:rPr>
        <w:t>PRRX2:</w:t>
      </w:r>
      <w:r>
        <w:t xml:space="preserve"> Paired-related homeobox 2, a transcription factor involved in EMT and mesenchymal stem cell regulation (31). PRRX2's high PageRank despite moderate degree centrality reflects quality over quantity in network connections. Direct TP53 regulation by PRRX2 represents another hypothesis prioritized by network topology requiring experimental validation.</w:t>
      </w:r>
    </w:p>
    <w:p>
      <w:r>
        <w:t>This comparison demonstrates that topology-based ranking can: (1) recapitulate experimentally validated regulators (WWTR1/CHD4/YAP1 from Hippo pathway), and (2) generate testable hypotheses (RBPMS, PRRX2) for experimental follow-up. The framework serves as a hypothesis generation tool to prioritize candidates for experimental validation.</w:t>
      </w:r>
    </w:p>
    <w:p>
      <w:pPr>
        <w:pStyle w:val="Heading2"/>
      </w:pPr>
      <w:r>
        <w:t>Cross-Cell-Type Regulatory Analysis</w:t>
      </w:r>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r>
        <w:rPr>
          <w:b/>
        </w:rPr>
        <w:t>Why is TP53 absent from immune cell networks?</w:t>
      </w:r>
      <w:r>
        <w:t xml:space="preserve"> This observation likely reflects two complementary mechanisms:</w:t>
      </w:r>
    </w:p>
    <w:p>
      <w:r>
        <w:t xml:space="preserve">1. </w:t>
      </w:r>
      <w:r>
        <w:rPr>
          <w:b/>
        </w:rPr>
        <w:t>Low expression variability</w:t>
      </w:r>
      <w:r>
        <w:t>: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r>
        <w:t xml:space="preserve">2. </w:t>
      </w:r>
      <w:r>
        <w:rPr>
          <w:b/>
        </w:rPr>
        <w:t>Alternative stress response pathways</w:t>
      </w:r>
      <w:r>
        <w:t>: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Pr>
        <w:pStyle w:val="Heading2"/>
      </w:pPr>
      <w:r>
        <w:t>Pathway Enrichment Analysis</w:t>
      </w:r>
    </w:p>
    <w:p>
      <w:r>
        <w:t>Reactome pathway enrichment for the TP53 regulatory network (TP53 + 7 regulators + top 10 targets) identified 16 statistically significant enriched pathways (FDR &lt; 0.05, Table S1). Top pathways included:</w:t>
      </w:r>
    </w:p>
    <w:p>
      <w:r>
        <w:t xml:space="preserve">1. </w:t>
      </w:r>
      <w:r>
        <w:rPr>
          <w:b/>
        </w:rPr>
        <w:t>Regulation of TP53 Expression</w:t>
      </w:r>
      <w:r>
        <w:t xml:space="preserve"> (FDR = 0.0033, 2/4 genes)</w:t>
      </w:r>
    </w:p>
    <w:p>
      <w:r>
        <w:t xml:space="preserve">2. </w:t>
      </w:r>
      <w:r>
        <w:rPr>
          <w:b/>
        </w:rPr>
        <w:t>RUNX3 regulates YAP1-mediated transcription</w:t>
      </w:r>
      <w:r>
        <w:t xml:space="preserve"> (FDR = 0.0084, 2/9 genes)</w:t>
      </w:r>
    </w:p>
    <w:p>
      <w:r>
        <w:t xml:space="preserve">3. </w:t>
      </w:r>
      <w:r>
        <w:rPr>
          <w:b/>
        </w:rPr>
        <w:t>YAP1- and WWTR1 (TAZ)-stimulated gene expression</w:t>
      </w:r>
      <w:r>
        <w:t xml:space="preserve"> (FDR = 0.020, 2/18 genes)</w:t>
      </w:r>
    </w:p>
    <w:p>
      <w:r>
        <w:t xml:space="preserve">4. </w:t>
      </w:r>
      <w:r>
        <w:rPr>
          <w:b/>
        </w:rPr>
        <w:t>Transcriptional regulation by RUNX3</w:t>
      </w:r>
      <w:r>
        <w:t xml:space="preserve"> (FDR = 0.020, 3/108 genes)</w:t>
      </w:r>
    </w:p>
    <w:p>
      <w:r>
        <w:t xml:space="preserve">5. </w:t>
      </w:r>
      <w:r>
        <w:rPr>
          <w:b/>
        </w:rPr>
        <w:t>Signaling by Hippo</w:t>
      </w:r>
      <w:r>
        <w:t xml:space="preserve"> (FDR = 0.020, 2/22 genes)</w:t>
      </w:r>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Pr>
        <w:pStyle w:val="Heading1"/>
      </w:pPr>
      <w:r>
        <w:t>DISCUSSION</w:t>
      </w:r>
    </w:p>
    <w:p>
      <w:pPr>
        <w:pStyle w:val="Heading2"/>
      </w:pPr>
      <w:r>
        <w:t>Principal Findings</w:t>
      </w:r>
    </w:p>
    <w:p>
      <w:r>
        <w:t xml:space="preserve">We developed RegNetAgents, a multi-agent AI framework that streamlines gene regulatory network analysis and makes sophisticated computational methods accessible to experimental biologists. The system integrates network modeling, automated perturbation simulation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correctly ranked experimentally validated Hippo pathway regulators (WWTR1, CHD4, YAP1) alongside novel hypotheses (RBPMS, PRRX2),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w:t>
      </w:r>
      <w:r>
        <w:rPr>
          <w:b/>
        </w:rPr>
        <w:t>The framework is designed as a hypothesis generation and experimental prioritization tool, not a replacement for experimental validation or expert biological interpretation.</w:t>
      </w:r>
    </w:p>
    <w:p>
      <w:pPr>
        <w:pStyle w:val="Heading2"/>
      </w:pPr>
      <w:r>
        <w:t>Framework Validation Against Known Biology</w:t>
      </w:r>
    </w:p>
    <w:p>
      <w:r>
        <w:t>A critical question for any computational tool is whether it produces biologically meaningful results. Our colorectal cancer case study provides multiple lines of validation:</w:t>
      </w:r>
    </w:p>
    <w:p>
      <w:r>
        <w:rPr>
          <w:b/>
        </w:rPr>
        <w:t>1. Biomarker classification accuracy:</w:t>
      </w:r>
      <w:r>
        <w:t xml:space="preserve"> All five genes were correctly classified (diagnostic, prognostic, predictive) with 100% agreement with published clinical literature, despite the framework having no prior knowledge of these classifications.</w:t>
      </w:r>
    </w:p>
    <w:p>
      <w:r>
        <w:rPr>
          <w:b/>
        </w:rPr>
        <w:t>2. Known regulatory relationships:</w:t>
      </w:r>
      <w:r>
        <w:t xml:space="preserve"> TP53 perturbation analysis ranked WWTR1 (TAZ) and YAP1 as top regulators (PageRank 0.473 and 0.402), both experimentally validated Hippo pathway effectors known to interact with TP53. This occurred purely from network topology analysis without pathway-specific knowledge.</w:t>
      </w:r>
    </w:p>
    <w:p>
      <w:r>
        <w:rPr>
          <w:b/>
        </w:rPr>
        <w:t>3. Pathway-network concordance:</w:t>
      </w:r>
      <w:r>
        <w:t xml:space="preserve"> Pathway enrichment independently identified Hippo signaling (FDR = 0.020), confirming biological coherence between network structure and pathway-level regulation.</w:t>
      </w:r>
    </w:p>
    <w:p>
      <w:r>
        <w:t>These validations demonstrate the framework recapitulates established biology while generating novel testable hypotheses (RBPMS, PRRX2). This positions RegNetAgents as a reliable hypothesis generation tool for experimental biologists.</w:t>
      </w:r>
    </w:p>
    <w:p>
      <w:pPr>
        <w:pStyle w:val="Heading2"/>
      </w:pPr>
      <w:r>
        <w:t>Comparison to Existing Approaches</w:t>
      </w:r>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(35), while CARNIVAL infers causal networks from perturbation data (36). However, these tools lack conversational interfaces, require programming expertise, and do not provide automated therapeutic target prioritization via perturbation analysis.</w:t>
      </w:r>
    </w:p>
    <w:p>
      <w:r>
        <w:t>RegNetAgents advances the field through four key innovations:</w:t>
      </w:r>
    </w:p>
    <w:p>
      <w:r>
        <w:rPr>
          <w:b/>
        </w:rPr>
        <w:t>1. Multi-Agent Parallelization:</w:t>
      </w:r>
      <w:r>
        <w:t xml:space="preserve"> Four domain-specific agents (cancer, drug, clinical, systems) execute simultaneously, providing integrated biological perspectives in a single query. This contrasts with sequential manual workflows where researchers must separately consider each domain.</w:t>
      </w:r>
    </w:p>
    <w:p>
      <w:r>
        <w:rPr>
          <w:b/>
        </w:rPr>
        <w:t>2. Automated Perturbation Analysis:</w:t>
      </w:r>
      <w:r>
        <w:t xml:space="preserve"> Network topology-based simulation identifies therapeutic targets by quantifying regulatory impact of inhibiting upstream regulators. While gene expression prediction tools exist (e.g., cell2cell for cell-cell communication modeling (37)),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r>
        <w:rPr>
          <w:b/>
        </w:rPr>
        <w:t>3. Conversational Interface:</w:t>
      </w:r>
      <w:r>
        <w:t xml:space="preserv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r>
        <w:rPr>
          <w:b/>
        </w:rPr>
        <w:t>4. Pre-Computed Cell-Type Networks:</w:t>
      </w:r>
      <w:r>
        <w:t xml:space="preserve"> Leveraging pre-computed ARACNe networks for 10 cell types (prepared by the GREmLN team) enables instant cross-cell-type comparisons, revealing tissue-specific regulatory mechanisms critical for understanding disease susceptibility and therapeutic responses.</w:t>
      </w:r>
    </w:p>
    <w:p>
      <w:pPr>
        <w:pStyle w:val="Heading2"/>
      </w:pPr>
      <w:r>
        <w:t>Biological Insights from Case Studies</w:t>
      </w:r>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(38,39), demonstrating the framework can recapitulate and extend experimentally derived therapeutic hypotheses.</w:t>
      </w:r>
    </w:p>
    <w:p>
      <w:pPr>
        <w:pStyle w:val="Heading2"/>
      </w:pPr>
      <w:r>
        <w:t>Limitations and Considerations</w:t>
      </w:r>
    </w:p>
    <w:p>
      <w:r>
        <w:t>Several limitations warrant consideration:</w:t>
      </w:r>
    </w:p>
    <w:p>
      <w:r>
        <w:rPr>
          <w:b/>
        </w:rPr>
        <w:t>Network Scope:</w:t>
      </w:r>
      <w:r>
        <w:t xml:space="preserv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r>
        <w:rPr>
          <w:b/>
        </w:rPr>
        <w:t>Topology-Based Perturbation Analysis:</w:t>
      </w:r>
      <w:r>
        <w:t xml:space="preserve">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r>
        <w:rPr>
          <w:b/>
        </w:rPr>
        <w:t>Network Construction Methodology:</w:t>
      </w:r>
      <w:r>
        <w:t xml:space="preserve"> ARACNe networks are reconstructed from scRNA-seq data using mutual information on the top 1,024 highly variable genes. Genes with low or uniform expression across cells will not appear in networks, potentially missing important regulators with constitutive low expression. Additionally, ARACNe identifies correlation-based associations that suggest regulation but do not confirm direct transcription factor binding. Chromatin immunoprecipitation (ChIP-seq) data could complement networks with binding-site information, though such data are not yet available at single-cell resolution across diverse cell types.</w:t>
      </w:r>
    </w:p>
    <w:p>
      <w:r>
        <w:rPr>
          <w:b/>
        </w:rPr>
        <w:t>Pathway Enrichment Dependence:</w:t>
      </w:r>
      <w:r>
        <w:t xml:space="preserv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r>
        <w:rPr>
          <w:b/>
        </w:rPr>
        <w:t>Prototype Implementation:</w:t>
      </w:r>
      <w:r>
        <w:t xml:space="preserve">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Pr>
        <w:pStyle w:val="Heading2"/>
      </w:pPr>
      <w:r>
        <w:t>Future Directions</w:t>
      </w:r>
    </w:p>
    <w:p>
      <w:r>
        <w:t>Several extensions could enhance RegNetAgents' capabilities while maintaining simplicity and accessibility:</w:t>
      </w:r>
    </w:p>
    <w:p>
      <w:r>
        <w:rPr>
          <w:b/>
        </w:rPr>
        <w:t>Expanded Cell Type Coverage:</w:t>
      </w:r>
      <w:r>
        <w:t xml:space="preserve"> Integration of additional cell types from CellxGene as new datasets become available. The existing preprocessing pipeline can be applied to new cell types (cardiomyocytes, neurons, hepatocytes) to broaden disease applicability without requiring new methodologies.</w:t>
      </w:r>
    </w:p>
    <w:p>
      <w:r>
        <w:rPr>
          <w:b/>
        </w:rPr>
        <w:t>Additional Gene Databases:</w:t>
      </w:r>
      <w:r>
        <w:t xml:space="preserve"> Integration of additional annotation sources (UniProt for protein function, DrugBank for existing therapeutics) would enrich domain agent analyses with minimal architectural changes. These databases provide structured APIs similar to currently integrated resources.</w:t>
      </w:r>
    </w:p>
    <w:p>
      <w:r>
        <w:rPr>
          <w:b/>
        </w:rPr>
        <w:t>Performance Optimization:</w:t>
      </w:r>
      <w:r>
        <w:t xml:space="preserve"> Caching strategies for frequently queried genes and pathway results could further reduce latency for common use cases. Pre-computation of centrality metrics for additional cell types would eliminate first-query overhead.</w:t>
      </w:r>
    </w:p>
    <w:p>
      <w:r>
        <w:rPr>
          <w:b/>
        </w:rPr>
        <w:t>Web Deployment:</w:t>
      </w:r>
      <w:r>
        <w:t xml:space="preserve">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Pr>
        <w:pStyle w:val="Heading2"/>
      </w:pPr>
      <w:r>
        <w:t>Broader Impact and Intended Use</w:t>
      </w:r>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r>
        <w:rPr>
          <w:b/>
        </w:rPr>
        <w:t>Intended Use:</w:t>
      </w:r>
      <w:r>
        <w:t xml:space="preserve"> The framework is designed for hypothesis generation and experimental prioritization, not for making clinical decisions or claiming novel biological discoveries. Users should:</w:t>
      </w:r>
    </w:p>
    <w:p>
      <w:r>
        <w:t xml:space="preserve">1. </w:t>
      </w:r>
      <w:r>
        <w:rPr>
          <w:b/>
        </w:rPr>
        <w:t>Validate hypotheses experimentally</w:t>
      </w:r>
      <w:r>
        <w:t xml:space="preserve"> - Network predictions require experimental confirmation</w:t>
      </w:r>
    </w:p>
    <w:p>
      <w:r>
        <w:t xml:space="preserve">2. </w:t>
      </w:r>
      <w:r>
        <w:rPr>
          <w:b/>
        </w:rPr>
        <w:t>Consult domain experts</w:t>
      </w:r>
      <w:r>
        <w:t xml:space="preserve"> - Biological interpretations should be reviewed by specialists</w:t>
      </w:r>
    </w:p>
    <w:p>
      <w:r>
        <w:t xml:space="preserve">3. </w:t>
      </w:r>
      <w:r>
        <w:rPr>
          <w:b/>
        </w:rPr>
        <w:t>Consider limitations</w:t>
      </w:r>
      <w:r>
        <w:t xml:space="preserve"> - Topology-based analysis does not predict dynamic gene expression changes</w:t>
      </w:r>
    </w:p>
    <w:p>
      <w:r>
        <w:t xml:space="preserve">4. </w:t>
      </w:r>
      <w:r>
        <w:rPr>
          <w:b/>
        </w:rPr>
        <w:t>Review literature</w:t>
      </w:r>
      <w:r>
        <w:t xml:space="preserve"> - Framework outputs should be compared against current biological knowledge</w:t>
      </w:r>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Pr>
        <w:pStyle w:val="Heading1"/>
      </w:pPr>
      <w:r>
        <w:t>CONCLUSIONS</w:t>
      </w:r>
    </w:p>
    <w:p>
      <w:r>
        <w:t xml:space="preserve">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correctly ranked experimentally validated TP53 regulators alongside novel candidates, demonstrating utility for hypothesis generation and experimental prioritization. The conversational interface via Model Context Protocol enables natural language queries without programming expertise. By integrating network analysis, perturbation simulation,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w:t>
      </w:r>
      <w:r>
        <w:rPr>
          <w:b/>
        </w:rPr>
        <w:t>This framework is intended as a hypothesis generation tool to assist researchers, not as a replacement for experimental validation or expert biological interpretation.</w:t>
      </w:r>
    </w:p>
    <w:p>
      <w:pPr>
        <w:pStyle w:val="Heading1"/>
      </w:pPr>
      <w:r>
        <w:t>ACKNOWLEDGMENTS</w:t>
      </w:r>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r>
        <w:rPr>
          <w:b/>
        </w:rPr>
        <w:t>Development Note</w:t>
      </w:r>
      <w:r>
        <w:t>: This project was developed with significant assistance from Claude Code (Anthropic's AI coding agent), which provided guidance on software architecture, Python implementation, workflow orchestration, documentation, and manuscript preparation. This work demonstrates how AI-assisted development tools can enable researchers from diverse backgrounds to implement sophisticated computational frameworks, broadening participation in computational biology research.</w:t>
      </w:r>
    </w:p>
    <w:p>
      <w:pPr>
        <w:pStyle w:val="Heading1"/>
      </w:pPr>
      <w:r>
        <w:t>AUTHOR CONTRIBUTIONS</w:t>
      </w:r>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Pr>
        <w:pStyle w:val="Heading1"/>
      </w:pPr>
      <w:r>
        <w:t>COMPETING INTERESTS</w:t>
      </w:r>
    </w:p>
    <w:p>
      <w:r>
        <w:t>The authors declare no competing interests.</w:t>
      </w:r>
    </w:p>
    <w:p>
      <w:pPr>
        <w:pStyle w:val="Heading1"/>
      </w:pPr>
      <w:r>
        <w:t>REFERENCES</w:t>
      </w:r>
    </w:p>
    <w:p>
      <w:r>
        <w:t>1. Babu MM, Luscombe NM, Aravind L, Gerstein M, Teichmann SA. Structure and evolution of transcriptional regulatory networks. Curr Opin Struct Biol. 2004;14(3):283-291.</w:t>
      </w:r>
    </w:p>
    <w:p>
      <w:r>
        <w:t>2. Davidson EH, Levine MS. Properties of developmental gene regulatory networks. Proc Natl Acad Sci USA. 2008;105(51):20063-20066.</w:t>
      </w:r>
    </w:p>
    <w:p>
      <w:r>
        <w:t>3. Califano A, Alvarez MJ. The recurrent architecture of tumour initiation, progression and drug sensitivity. Nat Rev Cancer. 2017;17(2):116-130.</w:t>
      </w:r>
    </w:p>
    <w:p>
      <w:r>
        <w:t>4. Sonawane AR, Platig J, Fagny M, et al. Understanding tissue-specific gene regulation. Cell Rep. 2017;21(4):1077-1088.</w:t>
      </w:r>
    </w:p>
    <w:p>
      <w:r>
        <w:t>5. Aibar S, González-Blas CB, Moerman T, et al. SCENIC: single-cell regulatory network inference and clustering. Nat Methods. 2017;14(11):1083-1086.</w:t>
      </w:r>
    </w:p>
    <w:p>
      <w:r>
        <w:t>6. Kamimoto K, Stringa B, Hoffmann CM, et al. Dissecting cell identity via network inference and in silico gene perturbation. Nature. 2023;614(7949):742-751.</w:t>
      </w:r>
    </w:p>
    <w:p>
      <w:r>
        <w:t>7. Szklarczyk D, Gable AL, Nastou KC, et al. The STRING database in 2021: customizable protein-protein networks, and functional characterization of user-uploaded gene/measurement sets. Nucleic Acids Res. 2021;49(D1):D605-D612.</w:t>
      </w:r>
    </w:p>
    <w:p>
      <w:r>
        <w:t>8. Oughtred R, Rust J, Chang C, et al. The BioGRID database: A comprehensive biomedical resource of curated protein, genetic, and chemical interactions. Protein Sci. 2021;30(1):187-200.</w:t>
      </w:r>
    </w:p>
    <w:p>
      <w:r>
        <w:t>9. Chen EY, Tan CM, Kou Y, et al. Enrichr: interactive and collaborative HTML5 gene list enrichment analysis tool. BMC Bioinformatics. 2013;14:128.</w:t>
      </w:r>
    </w:p>
    <w:p>
      <w:r>
        <w:t>10. Sherman BT, Hao M, Qiu J, et al. DAVID: a web server for functional enrichment analysis and functional annotation of gene lists (2021 update). Nucleic Acids Res. 2022;50(W1):W216-W221.</w:t>
      </w:r>
    </w:p>
    <w:p>
      <w:r>
        <w:t>11. Wooldridge M. An Introduction to MultiAgent Systems. 2nd ed. Wiley; 2009.</w:t>
      </w:r>
    </w:p>
    <w:p>
      <w:r>
        <w:t>12. LangGraph Documentation. LangChain AI. https://langchain-ai.github.io/langgraph/</w:t>
      </w:r>
    </w:p>
    <w:p>
      <w:r>
        <w:t>13. Anthropic. Model Context Protocol Documentation. https://modelcontextprotocol.io</w:t>
      </w:r>
    </w:p>
    <w:p>
      <w:r>
        <w:t>14. Zhang M, Swamy V, Cassius R, Dupire L, Karaletsos T, Califano A. GREmLN: A Cellular Graph Structure Aware Transcriptomics Foundation Model. bioRxiv. 2025. doi:10.1101/2025.07.03.663009</w:t>
      </w:r>
    </w:p>
    <w:p>
      <w:r>
        <w:t>15. Megill C, Martin B, Weaver C, et al. cellxgene: a performant, scalable exploration platform for high dimensional sparse matrices. bioRxiv. 2021. doi:10.1101/2021.04.05.438318</w:t>
      </w:r>
    </w:p>
    <w:p>
      <w:r>
        <w:t>16. Margolin AA, Nemenman I, Basso K, et al. ARACNE: an algorithm for the reconstruction of gene regulatory networks in a mammalian cellular context. BMC Bioinformatics. 2006;7(Suppl 1):S7.</w:t>
      </w:r>
    </w:p>
    <w:p>
      <w:r>
        <w:t>17. Lachmann A, Giorgi FM, Lopez G, Califano A. ARACNe-AP: gene network reverse engineering through adaptive partitioning inference of mutual information. Bioinformatics. 2016;32(14):2233-2235.</w:t>
      </w:r>
    </w:p>
    <w:p>
      <w:r>
        <w:t>18. Yates AD, Achuthan P, Akanni W, et al. Ensembl 2020. Nucleic Acids Res. 2020;48(D1):D682-D688.</w:t>
      </w:r>
    </w:p>
    <w:p>
      <w:r>
        <w:t>19. Gillespie M, Jassal B, Stephan R, et al. The reactome pathway knowledgebase 2022. Nucleic Acids Res. 2022;50(D1):D687-D692.</w:t>
      </w:r>
    </w:p>
    <w:p>
      <w:r>
        <w:t>20. Erisman MD, Rothberg PG, Diehl RE, Morse CC, Spandorfer JM, Astrin SM. Deregulation of c-myc gene expression in human colon carcinoma is not accompanied by amplification or rearrangement of the gene. Mol Cell Biol. 1985;5(8):1969-1976.</w:t>
      </w:r>
    </w:p>
    <w:p>
      <w:r>
        <w:t>21. Sears R, Nuckolls F, Haura E, Taya Y, Tamai K, Nevins JR. Multiple Ras-dependent phosphorylation pathways regulate Myc protein stability. Genes Dev. 2000;14(19):2501-2514.</w:t>
      </w:r>
    </w:p>
    <w:p>
      <w:r>
        <w:t>22. Morin PJ, Sparks AB, Korinek V, et al. Activation of beta-catenin-Tcf signaling in colon cancer by mutations in beta-catenin or APC. Science. 1997;275(5307):1787-1790.</w:t>
      </w:r>
    </w:p>
    <w:p>
      <w:r>
        <w:t>23. Segditsas S, Tomlinson I. Colorectal cancer and genetic alterations in the Wnt pathway. Oncogene. 2006;25(57):7531-7537.</w:t>
      </w:r>
    </w:p>
    <w:p>
      <w:r>
        <w:t>24. Bartkova J, Lukas J, Strauss M, Bartek J. Cyclin D1 oncoprotein aberrantly accumulates in malignancies of diverse histogenesis. Oncogene. 1995;10(4):775-778.</w:t>
      </w:r>
    </w:p>
    <w:p>
      <w:r>
        <w:t>25. Iacopetta B. TP53 mutation in colorectal cancer. Hum Mutat. 2003;21(3):271-276.</w:t>
      </w:r>
    </w:p>
    <w:p>
      <w:r>
        <w:t>26. Olivier M, Hollstein M, Hainaut P. TP53 mutations in human cancers: origins, consequences, and clinical use. Cold Spring Harb Perspect Biol. 2010;2(1):a001008.</w:t>
      </w:r>
    </w:p>
    <w:p>
      <w:r>
        <w:t>27. Lievre A, Bachet JB, Le Corre D, et al. KRAS mutation status is predictive of response to cetuximab therapy in colorectal cancer. Cancer Res. 2006;66(8):3992-3995.</w:t>
      </w:r>
    </w:p>
    <w:p>
      <w:r>
        <w:t>28. Karapetis CS, Khambata-Ford S, Jonker DJ, et al. K-ras mutations and benefit from cetuximab in advanced colorectal cancer. N Engl J Med. 2008;359(17):1757-1765.</w:t>
      </w:r>
    </w:p>
    <w:p>
      <w:r>
        <w:t>29. Sagnol S, Yang Y, Bessin Y, et al. Homodimerization of RBPMS2 through a new RRM-interaction motif is necessary to control smooth muscle plasticity. Nucleic Acids Res. 2014;42(15):10173-10184.</w:t>
      </w:r>
    </w:p>
    <w:p>
      <w:r>
        <w:t>30. Polo SE, Kaidi A, Baskcomb L, Galanty Y, Jackson SP. Regulation of DNA-damage responses and cell-cycle progression by the chromatin remodelling factor CHD4. EMBO J. 2010;29(18):3130-3139.</w:t>
      </w:r>
    </w:p>
    <w:p>
      <w:r>
        <w:t>31. Larsen DH, Poinsignon C, Gudjonsson T, et al. The chromatin-remodeling factor CHD4 coordinates signaling and repair after DNA damage. J Cell Biol. 2010;190(5):731-740.</w:t>
      </w:r>
    </w:p>
    <w:p>
      <w:r>
        <w:t>32. Smeenk G, Wiegant WW, Vrolijk H, et al. The NuRD chromatin-remodeling complex regulates signaling and repair of DNA damage. J Cell Biol. 2010;190(5):741-749.</w:t>
      </w:r>
    </w:p>
    <w:p>
      <w:r>
        <w:t>33. Strano S, Monti O, Pediconi N, et al. The transcriptional coactivator Yes-associated protein drives p73 gene-target specificity in response to DNA damage. Mol Cell. 2005;18(4):447-459.</w:t>
      </w:r>
    </w:p>
    <w:p>
      <w:r>
        <w:t>34. Levy D, Adamovich Y, Reuven N, Shaul Y. Yap1 phosphorylation by c-Abl is a critical step in selective activation of proapoptotic genes in response to DNA damage. Mol Cell. 2008;29(3):350-361.</w:t>
      </w:r>
    </w:p>
    <w:p>
      <w:r>
        <w:t>35. Shao DD, Xue W, Krall EB, et al. KRAS and YAP1 converge to regulate EMT and tumor survival. Cell. 2014;158(1):171-184.</w:t>
      </w:r>
    </w:p>
    <w:p>
      <w:r>
        <w:t>36. Zhou G, Soufan O, Ewald J, Hancock REW, Basu N, Xia J. NetworkAnalyst 3.0: a visual analytics platform for comprehensive gene expression profiling and meta-analysis. Nucleic Acids Res. 2019;47(W1):W234-W241.</w:t>
      </w:r>
    </w:p>
    <w:p>
      <w:r>
        <w:t>37. Liu A, Trairatphisan P, Gjerga E, et al. From expression footprints to causal pathways: contextualizing large signaling networks with CARNIVAL. NPJ Syst Biol Appl. 2019;5:40.</w:t>
      </w:r>
    </w:p>
    <w:p>
      <w:r>
        <w:t>38. Armingol E, Officer A, Harismendy O, Lewis NE. Deciphering cell-cell interactions and communication from gene expression. Nat Rev Genet. 2021;22(2):71-88.</w:t>
      </w:r>
    </w:p>
    <w:p>
      <w:r>
        <w:t>39. Zanconato F, Cordenonsi M, Piccolo S. YAP and TAZ: a signalling hub of the tumour microenvironment. Nat Rev Cancer. 2019;19(8):454-464.</w:t>
      </w:r>
    </w:p>
    <w:p>
      <w:r>
        <w:t>40. Zhao B, Tumaneng K, Guan KL. The Hippo pathway in organ size control, tissue regeneration and stem cell self-renewal. Nat Cell Biol. 2011;13(8):877-883.</w:t>
      </w:r>
    </w:p>
    <w:p>
      <w:r>
        <w:t>41. Dixit A, Parnas O, Li B, et al. Perturb-Seq: Dissecting molecular circuits with scalable single-cell RNA profiling of pooled genetic screens. Cell. 2016;167(7):1853-1866.e17.</w:t>
      </w:r>
    </w:p>
    <w:p>
      <w:r>
        <w:t>42. Hagberg AA, Schult DA, Swart PJ. Exploring network structure, dynamics, and function using NetworkX. Proceedings of the 7th Python in Science Conference (SciPy 2008); 2008. p. 11-15.</w:t>
      </w:r>
    </w:p>
    <w:p>
      <w:r>
        <w:t>43. Koschützki D, Schreiber F. Centrality analysis methods for biological networks and their application to gene regulatory networks. Gene Regulation and Systems Biology. 2008;2:GRSB.S702.</w:t>
      </w:r>
    </w:p>
    <w:p>
      <w:r>
        <w:t>44. Mora A, Donaldson IM. Effects of protein interaction data integration, representation and reliability on the use of network properties for drug target prediction. BMC Bioinformatics. 2021;22(1):1-29. doi:10.1186/s12859-021-04042-6</w:t>
      </w:r>
    </w:p>
    <w:p>
      <w:pPr>
        <w:pStyle w:val="Heading1"/>
      </w:pPr>
      <w:r>
        <w:t>FIGURE LEGENDS</w:t>
      </w:r>
    </w:p>
    <w:p>
      <w:r>
        <w:rPr>
          <w:b/>
        </w:rP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r>
        <w:rPr>
          <w:b/>
        </w:rP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yellow = terminal target, blue = target). TP53 emerges as central hub with 163 targets. (B) Bar chart comparing number of regulators (left) and targets (right) for each gene. (C) Biomarker type classification showing diagnostic, prognostic, and predictive categories.</w:t>
      </w:r>
    </w:p>
    <w:p>
      <w:r>
        <w:rPr>
          <w:b/>
        </w:rP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r>
        <w:rPr>
          <w:b/>
        </w:rP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Pr>
        <w:pStyle w:val="Heading1"/>
      </w:pPr>
      <w:r>
        <w:t>DATA AVAILABILITY</w:t>
      </w:r>
    </w:p>
    <w:p>
      <w:r>
        <w:t>All data and results needed to evaluate the conclusions in the paper are present in the paper and/or the figures.</w:t>
      </w:r>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r>
        <w:t>Raw analysis outputs (JSON format) for the case study analyses presented in this manuscript are available from the corresponding author upon reasonable request.</w:t>
      </w:r>
    </w:p>
    <w:p>
      <w:pPr>
        <w:pStyle w:val="Heading1"/>
      </w:pPr>
      <w:r>
        <w:t>CODE AVAILABILITY</w:t>
      </w:r>
    </w:p>
    <w:p>
      <w:r>
        <w:t>The RegNetAgents software implementation is publicly available at https://github.com/jab57/RegNetAgents under the MIT License.</w:t>
      </w:r>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r>
        <w:rPr>
          <w:b/>
        </w:rPr>
        <w:t>END OF MANUSCRIPT</w:t>
      </w:r>
    </w:p>
    <w:p>
      <w:r>
        <w:rPr>
          <w:b/>
        </w:rPr>
        <w:t>Manuscript Statistics:</w:t>
      </w:r>
    </w:p>
    <w:p>
      <w:r>
        <w:t>- Words (excluding references): ~8,500</w:t>
      </w:r>
    </w:p>
    <w:p>
      <w:r>
        <w:t>- Figures: 3 main</w:t>
      </w:r>
    </w:p>
    <w:p>
      <w:r>
        <w:t>- Tables: 3 main</w:t>
      </w:r>
    </w:p>
    <w:p>
      <w:r>
        <w:t>- References: 44</w:t>
      </w:r>
    </w:p>
    <w:p>
      <w:r>
        <w:t>- Pages (estimated): 12-15 in typical journal format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