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exemplifies the workflow bottlenecks that multi-agent LLM systems can address. Researchers must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