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2D6A9F"/>
          <w:sz w:val="44"/>
        </w:rPr>
        <w:t>SURVEY RESEARCH METHODS SHOWCASE</w:t>
      </w:r>
    </w:p>
    <w:p>
      <w:pPr>
        <w:spacing w:before="0" w:after="40"/>
        <w:jc w:val="center"/>
      </w:pPr>
      <w:r>
        <w:rPr>
          <w:b w:val="0"/>
          <w:i w:val="0"/>
          <w:color w:val="555555"/>
          <w:sz w:val="22"/>
        </w:rPr>
        <w:t>Seven question design techniques — with examples, rationale, and client value.</w:t>
      </w:r>
    </w:p>
    <w:p>
      <w:pPr>
        <w:spacing w:before="0" w:after="40"/>
        <w:jc w:val="center"/>
      </w:pPr>
      <w:r>
        <w:rPr>
          <w:b/>
          <w:i w:val="0"/>
          <w:sz w:val="22"/>
        </w:rPr>
        <w:t>Jeremy Barajas  |  Behavioral Scientist &amp; Mixed-Methods Researcher</w:t>
      </w:r>
    </w:p>
    <w:p>
      <w:pPr>
        <w:spacing w:before="0" w:after="160"/>
        <w:jc w:val="center"/>
      </w:pPr>
      <w:r>
        <w:rPr>
          <w:b w:val="0"/>
          <w:i w:val="0"/>
          <w:color w:val="555555"/>
          <w:sz w:val="20"/>
        </w:rPr>
        <w:t>RAND Corporation  ·  University of Pennsylvania (M.B.D.S.)  ·  USC (B.A. Psychology, Honors)</w:t>
      </w:r>
    </w:p>
    <w:p>
      <w:pPr>
        <w:spacing w:before="40" w:after="120"/>
        <w:pBdr>
          <w:bottom w:val="single" w:sz="4" w:space="1" w:color="D0D8E4"/>
        </w:pBdr>
      </w:pPr>
    </w:p>
    <w:p>
      <w:pPr>
        <w:spacing w:before="0" w:after="200"/>
      </w:pPr>
      <w:r>
        <w:rPr>
          <w:b w:val="0"/>
          <w:i w:val="0"/>
          <w:color w:val="1A1A2E"/>
          <w:sz w:val="20"/>
        </w:rPr>
        <w:t>This document demonstrates 7 survey question formats inspired by my work at RAND Corporation and in consulting. Each example includes a design note explaining why the format was selected and what it enables analytically.</w:t>
      </w:r>
    </w:p>
    <w:p>
      <w:pPr>
        <w:spacing w:before="160" w:after="40"/>
      </w:pPr>
      <w:r>
        <w:rPr>
          <w:b/>
          <w:color w:val="E87722"/>
          <w:sz w:val="18"/>
        </w:rPr>
        <w:t>CONTENTS</w:t>
      </w:r>
    </w:p>
    <w:p>
      <w:pPr>
        <w:spacing w:before="0" w:after="40"/>
      </w:pPr>
      <w:r>
        <w:rPr>
          <w:b w:val="0"/>
          <w:i w:val="0"/>
          <w:sz w:val="20"/>
        </w:rPr>
        <w:t>Method 01  —  Adaptive Branching Logic</w:t>
      </w:r>
    </w:p>
    <w:p>
      <w:pPr>
        <w:spacing w:before="0" w:after="40"/>
      </w:pPr>
      <w:r>
        <w:rPr>
          <w:b w:val="0"/>
          <w:i w:val="0"/>
          <w:sz w:val="20"/>
        </w:rPr>
        <w:t>Method 02  —  Likert Matrix</w:t>
      </w:r>
    </w:p>
    <w:p>
      <w:pPr>
        <w:spacing w:before="0" w:after="40"/>
      </w:pPr>
      <w:r>
        <w:rPr>
          <w:b w:val="0"/>
          <w:i w:val="0"/>
          <w:sz w:val="20"/>
        </w:rPr>
        <w:t>Method 03  —  Constant-Sum (Point Allocation)</w:t>
      </w:r>
    </w:p>
    <w:p>
      <w:pPr>
        <w:spacing w:before="0" w:after="40"/>
      </w:pPr>
      <w:r>
        <w:rPr>
          <w:b w:val="0"/>
          <w:i w:val="0"/>
          <w:sz w:val="20"/>
        </w:rPr>
        <w:t>Method 04  —  Vignette / Scenario-Based Item</w:t>
      </w:r>
    </w:p>
    <w:p>
      <w:pPr>
        <w:spacing w:before="0" w:after="40"/>
      </w:pPr>
      <w:r>
        <w:rPr>
          <w:b w:val="0"/>
          <w:i w:val="0"/>
          <w:sz w:val="20"/>
        </w:rPr>
        <w:t>Method 05  —  Semantic Differential Scale</w:t>
      </w:r>
    </w:p>
    <w:p>
      <w:pPr>
        <w:spacing w:before="0" w:after="40"/>
      </w:pPr>
      <w:r>
        <w:rPr>
          <w:b w:val="0"/>
          <w:i w:val="0"/>
          <w:sz w:val="20"/>
        </w:rPr>
        <w:t>Method 06  —  Social Circle / Network Influence</w:t>
      </w:r>
    </w:p>
    <w:p>
      <w:pPr>
        <w:spacing w:before="0" w:after="40"/>
      </w:pPr>
      <w:r>
        <w:rPr>
          <w:b w:val="0"/>
          <w:i w:val="0"/>
          <w:sz w:val="20"/>
        </w:rPr>
        <w:t>Method 07  —  Open-Ended with Structured Probe</w:t>
      </w:r>
    </w:p>
    <w:p>
      <w:r>
        <w:br w:type="page"/>
      </w:r>
    </w:p>
    <w:p>
      <w:pPr>
        <w:pStyle w:val="Heading2"/>
        <w:spacing w:before="280" w:after="40"/>
      </w:pPr>
      <w:r>
        <w:rPr>
          <w:b/>
          <w:color w:val="E87722"/>
          <w:sz w:val="18"/>
        </w:rPr>
        <w:t xml:space="preserve">METHOD 01   </w:t>
      </w:r>
      <w:r>
        <w:rPr>
          <w:b/>
          <w:color w:val="2D6A9F"/>
          <w:sz w:val="28"/>
        </w:rPr>
        <w:t>Adaptive Branching Logic</w:t>
      </w:r>
    </w:p>
    <w:p>
      <w:pPr>
        <w:spacing w:before="40" w:after="120"/>
        <w:pBdr>
          <w:bottom w:val="single" w:sz="4" w:space="1" w:color="D0D8E4"/>
        </w:pBdr>
      </w:pPr>
    </w:p>
    <w:p>
      <w:pPr>
        <w:spacing w:before="0" w:after="120"/>
      </w:pPr>
      <w:r>
        <w:rPr>
          <w:b w:val="0"/>
          <w:i w:val="0"/>
          <w:color w:val="555555"/>
          <w:sz w:val="20"/>
        </w:rPr>
        <w:t>Branching logic routes respondents through different question paths based on prior answers, so they only see items relevant to their situation. Done well, it reduces burden and improves data quality by eliminating inapplicable items that confuse respondents.</w:t>
      </w:r>
    </w:p>
    <w:p>
      <w:pPr>
        <w:spacing w:before="160" w:after="40"/>
      </w:pPr>
      <w:r>
        <w:rPr>
          <w:b/>
          <w:color w:val="E87722"/>
          <w:sz w:val="18"/>
        </w:rPr>
        <w:t>EXAMPLE QUESTION</w:t>
      </w:r>
    </w:p>
    <w:p>
      <w:pPr>
        <w:spacing w:before="0" w:after="60"/>
      </w:pPr>
      <w:r>
        <w:rPr>
          <w:b w:val="0"/>
          <w:i w:val="0"/>
          <w:sz w:val="21"/>
        </w:rPr>
        <w:t>Q1.  Have you used the AI analytics platform in the past 30 days?</w:t>
      </w:r>
    </w:p>
    <w:p>
      <w:pPr>
        <w:pStyle w:val="ListBullet"/>
        <w:spacing w:after="40"/>
        <w:ind w:left="360"/>
      </w:pPr>
      <w:r>
        <w:rPr>
          <w:sz w:val="20"/>
        </w:rPr>
        <w:t>Yes</w:t>
      </w:r>
    </w:p>
    <w:p>
      <w:pPr>
        <w:pStyle w:val="ListBullet"/>
        <w:spacing w:after="40"/>
        <w:ind w:left="360"/>
      </w:pPr>
      <w:r>
        <w:rPr>
          <w:sz w:val="20"/>
        </w:rPr>
        <w:t>No</w:t>
      </w:r>
    </w:p>
    <w:p>
      <w:pPr>
        <w:pStyle w:val="ListBullet"/>
        <w:spacing w:after="40"/>
        <w:ind w:left="360"/>
      </w:pPr>
      <w:r>
        <w:rPr>
          <w:sz w:val="20"/>
        </w:rPr>
        <w:t>I was not aware this tool existed</w:t>
      </w:r>
    </w:p>
    <w:p>
      <w:pPr>
        <w:spacing w:after="120"/>
      </w:pPr>
      <w:r>
        <w:rPr>
          <w:i/>
          <w:color w:val="E87722"/>
          <w:sz w:val="18"/>
        </w:rPr>
        <w:t>→  If YES: continue to Section B (Usage &amp; Experience)</w:t>
        <w:br/>
        <w:t>→  If NO or Unaware: skip to Section C (Barriers &amp; Readiness)</w:t>
      </w:r>
    </w:p>
    <w:p>
      <w:pPr>
        <w:spacing w:before="160" w:after="40"/>
      </w:pPr>
      <w:r>
        <w:rPr>
          <w:b/>
          <w:color w:val="E87722"/>
          <w:sz w:val="18"/>
        </w:rPr>
        <w:t>BRANCHING FLOW</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2D6A9F"/>
          </w:tcPr>
          <w:p>
            <w:r>
              <w:rPr>
                <w:b/>
                <w:color w:val="FFFFFF"/>
                <w:sz w:val="18"/>
              </w:rPr>
              <w:t>Q1 Response</w:t>
            </w:r>
          </w:p>
        </w:tc>
        <w:tc>
          <w:tcPr>
            <w:tcW w:type="dxa" w:w="7200"/>
            <w:shd w:val="clear" w:color="auto" w:fill="2D6A9F"/>
          </w:tcPr>
          <w:p>
            <w:r>
              <w:rPr>
                <w:color w:val="FFFFFF"/>
                <w:sz w:val="18"/>
              </w:rPr>
              <w:t>Next Section</w:t>
            </w:r>
          </w:p>
        </w:tc>
      </w:tr>
      <w:tr>
        <w:tc>
          <w:tcPr>
            <w:tcW w:type="dxa" w:w="2160"/>
            <w:shd w:val="clear" w:color="auto" w:fill="E8F2FB"/>
          </w:tcPr>
          <w:p>
            <w:r>
              <w:rPr>
                <w:b/>
                <w:color w:val="1A1A2E"/>
                <w:sz w:val="18"/>
              </w:rPr>
              <w:t>Yes (used platform)</w:t>
            </w:r>
          </w:p>
        </w:tc>
        <w:tc>
          <w:tcPr>
            <w:tcW w:type="dxa" w:w="7200"/>
            <w:shd w:val="clear" w:color="auto" w:fill="E8F2FB"/>
          </w:tcPr>
          <w:p>
            <w:r>
              <w:rPr>
                <w:color w:val="1A1A2E"/>
                <w:sz w:val="18"/>
              </w:rPr>
              <w:t>Section B: Usage frequency, task types, satisfaction ratings</w:t>
            </w:r>
          </w:p>
        </w:tc>
      </w:tr>
      <w:tr>
        <w:tc>
          <w:tcPr>
            <w:tcW w:type="dxa" w:w="2160"/>
            <w:shd w:val="clear" w:color="auto" w:fill="FFFFFF"/>
          </w:tcPr>
          <w:p>
            <w:r>
              <w:rPr>
                <w:b/>
                <w:color w:val="1A1A2E"/>
                <w:sz w:val="18"/>
              </w:rPr>
              <w:t>No / Unaware</w:t>
            </w:r>
          </w:p>
        </w:tc>
        <w:tc>
          <w:tcPr>
            <w:tcW w:type="dxa" w:w="7200"/>
            <w:shd w:val="clear" w:color="auto" w:fill="FFFFFF"/>
          </w:tcPr>
          <w:p>
            <w:r>
              <w:rPr>
                <w:color w:val="1A1A2E"/>
                <w:sz w:val="18"/>
              </w:rPr>
              <w:t>Section C: Primary barrier, awareness source, readiness to try</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Branching eliminates the 'not applicable' problem — respondents who've never used a tool cannot meaningfully rate its usability. Forcing them to answer wastes their time and introduces noise. Branching also lets you use one instrument to measure both adopters and non-adopters.</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You get clean, segment-specific data with one instrument. Adoption barriers can be analyzed separately from usage patterns. Reports can say 'of the 38% who haven't adopted, here is what's stopping them' — not 'here is the average of everyone mixed together.'</w:t>
            </w:r>
          </w:p>
        </w:tc>
      </w:tr>
    </w:tbl>
    <w:p>
      <w:pPr>
        <w:spacing w:after="80"/>
      </w:pPr>
    </w:p>
    <w:p>
      <w:r>
        <w:br w:type="page"/>
      </w:r>
    </w:p>
    <w:p>
      <w:pPr>
        <w:pStyle w:val="Heading2"/>
        <w:spacing w:before="280" w:after="40"/>
      </w:pPr>
      <w:r>
        <w:rPr>
          <w:b/>
          <w:color w:val="E87722"/>
          <w:sz w:val="18"/>
        </w:rPr>
        <w:t xml:space="preserve">METHOD 02   </w:t>
      </w:r>
      <w:r>
        <w:rPr>
          <w:b/>
          <w:color w:val="2D6A9F"/>
          <w:sz w:val="28"/>
        </w:rPr>
        <w:t>Likert Matrix</w:t>
      </w:r>
    </w:p>
    <w:p>
      <w:pPr>
        <w:spacing w:before="40" w:after="120"/>
        <w:pBdr>
          <w:bottom w:val="single" w:sz="4" w:space="1" w:color="D0D8E4"/>
        </w:pBdr>
      </w:pPr>
    </w:p>
    <w:p>
      <w:pPr>
        <w:spacing w:before="0" w:after="120"/>
      </w:pPr>
      <w:r>
        <w:rPr>
          <w:b w:val="0"/>
          <w:i w:val="0"/>
          <w:color w:val="555555"/>
          <w:sz w:val="20"/>
        </w:rPr>
        <w:t>A matrix groups multiple attitude items sharing the same response scale into a compact grid. It reduces survey length and cognitive switching costs — but only when items are genuinely related. A poorly constructed matrix creates straightlining (respondents checking the same column for every row).</w:t>
      </w:r>
    </w:p>
    <w:p>
      <w:pPr>
        <w:spacing w:before="160" w:after="40"/>
      </w:pPr>
      <w:r>
        <w:rPr>
          <w:b/>
          <w:color w:val="E87722"/>
          <w:sz w:val="18"/>
        </w:rPr>
        <w:t>EXAMPLE QUESTION</w:t>
      </w:r>
    </w:p>
    <w:p>
      <w:pPr>
        <w:spacing w:before="0" w:after="80"/>
      </w:pPr>
      <w:r>
        <w:rPr>
          <w:b w:val="0"/>
          <w:i w:val="0"/>
          <w:sz w:val="21"/>
        </w:rPr>
        <w:t>Q2.  How much do you agree with each of the following statements about the AI platform?</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D6A9F"/>
          </w:tcPr>
          <w:p>
            <w:pPr>
              <w:jc w:val="center"/>
            </w:pPr>
            <w:r>
              <w:rPr>
                <w:b/>
                <w:color w:val="FFFFFF"/>
                <w:sz w:val="17"/>
              </w:rPr>
            </w:r>
          </w:p>
        </w:tc>
        <w:tc>
          <w:tcPr>
            <w:tcW w:type="dxa" w:w="1512"/>
            <w:shd w:val="clear" w:color="auto" w:fill="2D6A9F"/>
          </w:tcPr>
          <w:p>
            <w:pPr>
              <w:jc w:val="center"/>
            </w:pPr>
            <w:r>
              <w:rPr>
                <w:b/>
                <w:color w:val="FFFFFF"/>
                <w:sz w:val="17"/>
              </w:rPr>
              <w:t>Strongly Disagree</w:t>
            </w:r>
          </w:p>
        </w:tc>
        <w:tc>
          <w:tcPr>
            <w:tcW w:type="dxa" w:w="1512"/>
            <w:shd w:val="clear" w:color="auto" w:fill="2D6A9F"/>
          </w:tcPr>
          <w:p>
            <w:pPr>
              <w:jc w:val="center"/>
            </w:pPr>
            <w:r>
              <w:rPr>
                <w:b/>
                <w:color w:val="FFFFFF"/>
                <w:sz w:val="17"/>
              </w:rPr>
              <w:t>Disagree</w:t>
            </w:r>
          </w:p>
        </w:tc>
        <w:tc>
          <w:tcPr>
            <w:tcW w:type="dxa" w:w="1512"/>
            <w:shd w:val="clear" w:color="auto" w:fill="2D6A9F"/>
          </w:tcPr>
          <w:p>
            <w:pPr>
              <w:jc w:val="center"/>
            </w:pPr>
            <w:r>
              <w:rPr>
                <w:b/>
                <w:color w:val="FFFFFF"/>
                <w:sz w:val="17"/>
              </w:rPr>
              <w:t>Neutral</w:t>
            </w:r>
          </w:p>
        </w:tc>
        <w:tc>
          <w:tcPr>
            <w:tcW w:type="dxa" w:w="1512"/>
            <w:shd w:val="clear" w:color="auto" w:fill="2D6A9F"/>
          </w:tcPr>
          <w:p>
            <w:pPr>
              <w:jc w:val="center"/>
            </w:pPr>
            <w:r>
              <w:rPr>
                <w:b/>
                <w:color w:val="FFFFFF"/>
                <w:sz w:val="17"/>
              </w:rPr>
              <w:t>Agree</w:t>
            </w:r>
          </w:p>
        </w:tc>
        <w:tc>
          <w:tcPr>
            <w:tcW w:type="dxa" w:w="1512"/>
            <w:shd w:val="clear" w:color="auto" w:fill="2D6A9F"/>
          </w:tcPr>
          <w:p>
            <w:pPr>
              <w:jc w:val="center"/>
            </w:pPr>
            <w:r>
              <w:rPr>
                <w:b/>
                <w:color w:val="FFFFFF"/>
                <w:sz w:val="17"/>
              </w:rPr>
              <w:t>Strongly Agree</w:t>
            </w:r>
          </w:p>
        </w:tc>
      </w:tr>
      <w:tr>
        <w:tc>
          <w:tcPr>
            <w:tcW w:type="dxa" w:w="4032"/>
            <w:shd w:val="clear" w:color="auto" w:fill="E8F2FB"/>
          </w:tcPr>
          <w:p>
            <w:r>
              <w:rPr>
                <w:sz w:val="17"/>
              </w:rPr>
              <w:t>I understand how to use the platform effectively.</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r>
      <w:tr>
        <w:tc>
          <w:tcPr>
            <w:tcW w:type="dxa" w:w="4032"/>
            <w:shd w:val="clear" w:color="auto" w:fill="FFFFFF"/>
          </w:tcPr>
          <w:p>
            <w:r>
              <w:rPr>
                <w:sz w:val="17"/>
              </w:rPr>
              <w:t>The platform produces outputs I can trust without verifying.</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r>
      <w:tr>
        <w:tc>
          <w:tcPr>
            <w:tcW w:type="dxa" w:w="4032"/>
            <w:shd w:val="clear" w:color="auto" w:fill="E8F2FB"/>
          </w:tcPr>
          <w:p>
            <w:r>
              <w:rPr>
                <w:sz w:val="17"/>
              </w:rPr>
              <w:t>Using the platform makes me look more capable to colleagues.</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r>
      <w:tr>
        <w:tc>
          <w:tcPr>
            <w:tcW w:type="dxa" w:w="4032"/>
            <w:shd w:val="clear" w:color="auto" w:fill="FFFFFF"/>
          </w:tcPr>
          <w:p>
            <w:r>
              <w:rPr>
                <w:sz w:val="17"/>
              </w:rPr>
              <w:t>I worry that AI tools will reduce the value of my expertise.</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c>
          <w:tcPr>
            <w:tcW w:type="dxa" w:w="1512"/>
            <w:shd w:val="clear" w:color="auto" w:fill="FFFFFF"/>
          </w:tcPr>
          <w:p>
            <w:pPr>
              <w:jc w:val="center"/>
            </w:pPr>
            <w:r>
              <w:rPr>
                <w:sz w:val="20"/>
              </w:rPr>
              <w:t>◯</w:t>
            </w:r>
          </w:p>
        </w:tc>
      </w:tr>
      <w:tr>
        <w:tc>
          <w:tcPr>
            <w:tcW w:type="dxa" w:w="4032"/>
            <w:shd w:val="clear" w:color="auto" w:fill="E8F2FB"/>
          </w:tcPr>
          <w:p>
            <w:r>
              <w:rPr>
                <w:sz w:val="17"/>
              </w:rPr>
              <w:t>My organization has given me adequate training to use the platform.</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c>
          <w:tcPr>
            <w:tcW w:type="dxa" w:w="1512"/>
            <w:shd w:val="clear" w:color="auto" w:fill="E8F2FB"/>
          </w:tcPr>
          <w:p>
            <w:pPr>
              <w:jc w:val="center"/>
            </w:pPr>
            <w:r>
              <w:rPr>
                <w:sz w:val="20"/>
              </w:rPr>
              <w:t>◯</w:t>
            </w:r>
          </w:p>
        </w:tc>
      </w:tr>
    </w:tbl>
    <w:p>
      <w:pPr>
        <w:spacing w:after="12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Five distinct constructs — self-efficacy, trust, social image, threat perception, and organizational support — are measured efficiently in one grid. Each maps to a different behavioral science lever. Items are ordered to move from external behavior to internal beliefs to reduce anchoring effects.</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Pinpoints exactly which belief is blocking adoption. If trust scores are low but self-efficacy is high, the intervention is communications, not training. If self-efficacy is low and trust is high, it is the opposite. These require completely different responses and investment levels.</w:t>
            </w:r>
          </w:p>
        </w:tc>
      </w:tr>
    </w:tbl>
    <w:p>
      <w:pPr>
        <w:spacing w:after="80"/>
      </w:pPr>
    </w:p>
    <w:p>
      <w:r>
        <w:br w:type="page"/>
      </w:r>
    </w:p>
    <w:p>
      <w:pPr>
        <w:pStyle w:val="Heading2"/>
        <w:spacing w:before="280" w:after="40"/>
      </w:pPr>
      <w:r>
        <w:rPr>
          <w:b/>
          <w:color w:val="E87722"/>
          <w:sz w:val="18"/>
        </w:rPr>
        <w:t xml:space="preserve">METHOD 03   </w:t>
      </w:r>
      <w:r>
        <w:rPr>
          <w:b/>
          <w:color w:val="2D6A9F"/>
          <w:sz w:val="28"/>
        </w:rPr>
        <w:t>Constant-Sum (Point Allocation)</w:t>
      </w:r>
    </w:p>
    <w:p>
      <w:pPr>
        <w:spacing w:before="40" w:after="120"/>
        <w:pBdr>
          <w:bottom w:val="single" w:sz="4" w:space="1" w:color="D0D8E4"/>
        </w:pBdr>
      </w:pPr>
    </w:p>
    <w:p>
      <w:pPr>
        <w:spacing w:before="0" w:after="120"/>
      </w:pPr>
      <w:r>
        <w:rPr>
          <w:b w:val="0"/>
          <w:i w:val="0"/>
          <w:color w:val="555555"/>
          <w:sz w:val="20"/>
        </w:rPr>
        <w:t>A constant-sum item asks respondents to distribute a fixed number of points across categories. Unlike Likert scales, it forces trade-offs — saying you spend more time on one task necessarily means less on another. This produces ratio-level data about relative weight, not just ordinal rankings.</w:t>
      </w:r>
    </w:p>
    <w:p>
      <w:pPr>
        <w:spacing w:before="160" w:after="40"/>
      </w:pPr>
      <w:r>
        <w:rPr>
          <w:b/>
          <w:color w:val="E87722"/>
          <w:sz w:val="18"/>
        </w:rPr>
        <w:t>EXAMPLE QUESTION</w:t>
      </w:r>
    </w:p>
    <w:p>
      <w:pPr>
        <w:spacing w:before="0" w:after="80"/>
      </w:pPr>
      <w:r>
        <w:rPr>
          <w:b w:val="0"/>
          <w:i w:val="0"/>
          <w:sz w:val="21"/>
        </w:rPr>
        <w:t>Q3.  Think about a typical work week. Distribute 100 points across the task types below to reflect how you currently spend your analytical work time. (Points must sum to exactly 100.)</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D6A9F"/>
          </w:tcPr>
          <w:p>
            <w:r>
              <w:rPr>
                <w:b/>
                <w:color w:val="FFFFFF"/>
                <w:sz w:val="17"/>
              </w:rPr>
              <w:t>Task Category</w:t>
            </w:r>
          </w:p>
        </w:tc>
        <w:tc>
          <w:tcPr>
            <w:tcW w:type="dxa" w:w="3024"/>
            <w:shd w:val="clear" w:color="auto" w:fill="2D6A9F"/>
          </w:tcPr>
          <w:p>
            <w:r>
              <w:rPr>
                <w:b/>
                <w:color w:val="FFFFFF"/>
                <w:sz w:val="17"/>
              </w:rPr>
              <w:t>Points Allocated</w:t>
              <w:br/>
              <w:t>(must sum to 100)</w:t>
            </w:r>
          </w:p>
        </w:tc>
        <w:tc>
          <w:tcPr>
            <w:tcW w:type="dxa" w:w="3024"/>
            <w:shd w:val="clear" w:color="auto" w:fill="2D6A9F"/>
          </w:tcPr>
          <w:p>
            <w:r>
              <w:rPr>
                <w:b/>
                <w:color w:val="FFFFFF"/>
                <w:sz w:val="17"/>
              </w:rPr>
              <w:t>Why this matters</w:t>
            </w:r>
          </w:p>
        </w:tc>
      </w:tr>
      <w:tr>
        <w:tc>
          <w:tcPr>
            <w:tcW w:type="dxa" w:w="3024"/>
            <w:shd w:val="clear" w:color="auto" w:fill="E8F2FB"/>
          </w:tcPr>
          <w:p>
            <w:r>
              <w:rPr>
                <w:b w:val="0"/>
                <w:color w:val="1A1A2E"/>
                <w:sz w:val="17"/>
              </w:rPr>
              <w:t>Qualitative analysis (interviews, transcripts, thematic coding)</w:t>
            </w:r>
          </w:p>
        </w:tc>
        <w:tc>
          <w:tcPr>
            <w:tcW w:type="dxa" w:w="3024"/>
            <w:shd w:val="clear" w:color="auto" w:fill="E8F2FB"/>
          </w:tcPr>
          <w:p>
            <w:r>
              <w:rPr>
                <w:b w:val="0"/>
                <w:color w:val="1A1A2E"/>
                <w:sz w:val="17"/>
              </w:rPr>
              <w:t>______</w:t>
            </w:r>
          </w:p>
        </w:tc>
        <w:tc>
          <w:tcPr>
            <w:tcW w:type="dxa" w:w="3024"/>
            <w:shd w:val="clear" w:color="auto" w:fill="E8F2FB"/>
          </w:tcPr>
          <w:p>
            <w:r>
              <w:rPr>
                <w:b w:val="0"/>
                <w:color w:val="1A1A2E"/>
                <w:sz w:val="17"/>
              </w:rPr>
              <w:t>Captures cognitive burden of manual interpretation work</w:t>
            </w:r>
          </w:p>
        </w:tc>
      </w:tr>
      <w:tr>
        <w:tc>
          <w:tcPr>
            <w:tcW w:type="dxa" w:w="3024"/>
            <w:shd w:val="clear" w:color="auto" w:fill="FFFFFF"/>
          </w:tcPr>
          <w:p>
            <w:r>
              <w:rPr>
                <w:b w:val="0"/>
                <w:color w:val="1A1A2E"/>
                <w:sz w:val="17"/>
              </w:rPr>
              <w:t>Quantitative analysis (statistical modeling, data cleaning, R/Python)</w:t>
            </w:r>
          </w:p>
        </w:tc>
        <w:tc>
          <w:tcPr>
            <w:tcW w:type="dxa" w:w="3024"/>
            <w:shd w:val="clear" w:color="auto" w:fill="FFFFFF"/>
          </w:tcPr>
          <w:p>
            <w:r>
              <w:rPr>
                <w:b w:val="0"/>
                <w:color w:val="1A1A2E"/>
                <w:sz w:val="17"/>
              </w:rPr>
              <w:t>______</w:t>
            </w:r>
          </w:p>
        </w:tc>
        <w:tc>
          <w:tcPr>
            <w:tcW w:type="dxa" w:w="3024"/>
            <w:shd w:val="clear" w:color="auto" w:fill="FFFFFF"/>
          </w:tcPr>
          <w:p>
            <w:r>
              <w:rPr>
                <w:b w:val="0"/>
                <w:color w:val="1A1A2E"/>
                <w:sz w:val="17"/>
              </w:rPr>
              <w:t>Core knowledge-work output — most sensitive to AI uplift</w:t>
            </w:r>
          </w:p>
        </w:tc>
      </w:tr>
      <w:tr>
        <w:tc>
          <w:tcPr>
            <w:tcW w:type="dxa" w:w="3024"/>
            <w:shd w:val="clear" w:color="auto" w:fill="E8F2FB"/>
          </w:tcPr>
          <w:p>
            <w:r>
              <w:rPr>
                <w:b w:val="0"/>
                <w:color w:val="1A1A2E"/>
                <w:sz w:val="17"/>
              </w:rPr>
              <w:t>Writing, editing, and communications</w:t>
            </w:r>
          </w:p>
        </w:tc>
        <w:tc>
          <w:tcPr>
            <w:tcW w:type="dxa" w:w="3024"/>
            <w:shd w:val="clear" w:color="auto" w:fill="E8F2FB"/>
          </w:tcPr>
          <w:p>
            <w:r>
              <w:rPr>
                <w:b w:val="0"/>
                <w:color w:val="1A1A2E"/>
                <w:sz w:val="17"/>
              </w:rPr>
              <w:t>______</w:t>
            </w:r>
          </w:p>
        </w:tc>
        <w:tc>
          <w:tcPr>
            <w:tcW w:type="dxa" w:w="3024"/>
            <w:shd w:val="clear" w:color="auto" w:fill="E8F2FB"/>
          </w:tcPr>
          <w:p>
            <w:r>
              <w:rPr>
                <w:b w:val="0"/>
                <w:color w:val="1A1A2E"/>
                <w:sz w:val="17"/>
              </w:rPr>
              <w:t>Time recovered here signals adoption quality, not just frequency</w:t>
            </w:r>
          </w:p>
        </w:tc>
      </w:tr>
      <w:tr>
        <w:tc>
          <w:tcPr>
            <w:tcW w:type="dxa" w:w="3024"/>
            <w:shd w:val="clear" w:color="auto" w:fill="FFFFFF"/>
          </w:tcPr>
          <w:p>
            <w:r>
              <w:rPr>
                <w:b w:val="0"/>
                <w:color w:val="1A1A2E"/>
                <w:sz w:val="17"/>
              </w:rPr>
              <w:t>Administrative / project management tasks</w:t>
            </w:r>
          </w:p>
        </w:tc>
        <w:tc>
          <w:tcPr>
            <w:tcW w:type="dxa" w:w="3024"/>
            <w:shd w:val="clear" w:color="auto" w:fill="FFFFFF"/>
          </w:tcPr>
          <w:p>
            <w:r>
              <w:rPr>
                <w:b w:val="0"/>
                <w:color w:val="1A1A2E"/>
                <w:sz w:val="17"/>
              </w:rPr>
              <w:t>______</w:t>
            </w:r>
          </w:p>
        </w:tc>
        <w:tc>
          <w:tcPr>
            <w:tcW w:type="dxa" w:w="3024"/>
            <w:shd w:val="clear" w:color="auto" w:fill="FFFFFF"/>
          </w:tcPr>
          <w:p>
            <w:r>
              <w:rPr>
                <w:b w:val="0"/>
                <w:color w:val="1A1A2E"/>
                <w:sz w:val="17"/>
              </w:rPr>
              <w:t>Often hidden labor; underreported in time-diary studies</w:t>
            </w:r>
          </w:p>
        </w:tc>
      </w:tr>
      <w:tr>
        <w:tc>
          <w:tcPr>
            <w:tcW w:type="dxa" w:w="3024"/>
            <w:shd w:val="clear" w:color="auto" w:fill="E8F2FB"/>
          </w:tcPr>
          <w:p>
            <w:r>
              <w:rPr>
                <w:b w:val="0"/>
                <w:color w:val="1A1A2E"/>
                <w:sz w:val="17"/>
              </w:rPr>
              <w:t>Other</w:t>
            </w:r>
          </w:p>
        </w:tc>
        <w:tc>
          <w:tcPr>
            <w:tcW w:type="dxa" w:w="3024"/>
            <w:shd w:val="clear" w:color="auto" w:fill="E8F2FB"/>
          </w:tcPr>
          <w:p>
            <w:r>
              <w:rPr>
                <w:b w:val="0"/>
                <w:color w:val="1A1A2E"/>
                <w:sz w:val="17"/>
              </w:rPr>
              <w:t>______</w:t>
            </w:r>
          </w:p>
        </w:tc>
        <w:tc>
          <w:tcPr>
            <w:tcW w:type="dxa" w:w="3024"/>
            <w:shd w:val="clear" w:color="auto" w:fill="E8F2FB"/>
          </w:tcPr>
          <w:p>
            <w:r>
              <w:rPr>
                <w:b w:val="0"/>
                <w:color w:val="1A1A2E"/>
                <w:sz w:val="17"/>
              </w:rPr>
              <w:t>Catches residual variance; flags roles with unique workflows</w:t>
            </w:r>
          </w:p>
        </w:tc>
      </w:tr>
      <w:tr>
        <w:tc>
          <w:tcPr>
            <w:tcW w:type="dxa" w:w="3024"/>
            <w:shd w:val="clear" w:color="auto" w:fill="D4EDE4"/>
          </w:tcPr>
          <w:p>
            <w:r>
              <w:rPr>
                <w:b/>
                <w:color w:val="1A1A2E"/>
                <w:sz w:val="17"/>
              </w:rPr>
              <w:t>TOTAL</w:t>
            </w:r>
          </w:p>
        </w:tc>
        <w:tc>
          <w:tcPr>
            <w:tcW w:type="dxa" w:w="3024"/>
            <w:shd w:val="clear" w:color="auto" w:fill="D4EDE4"/>
          </w:tcPr>
          <w:p>
            <w:r>
              <w:rPr>
                <w:b/>
                <w:color w:val="1A1A2E"/>
                <w:sz w:val="17"/>
              </w:rPr>
              <w:t>100</w:t>
            </w:r>
          </w:p>
        </w:tc>
        <w:tc>
          <w:tcPr>
            <w:tcW w:type="dxa" w:w="3024"/>
            <w:shd w:val="clear" w:color="auto" w:fill="D4EDE4"/>
          </w:tcPr>
          <w:p>
            <w:r>
              <w:rPr>
                <w:b/>
                <w:color w:val="1A1A2E"/>
                <w:sz w:val="17"/>
              </w:rPr>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Standard Likert scales let respondents rate everything as 'very important,' which reveals nothing about priority. A constant-sum forces honest prioritization. In AI adoption research, this tells you where the time is actually going — and where AI delivers the most efficiency gain per user segment.</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Enables ROI modeling by role: if quantitative analysts allocate 40% to data cleaning and a tool reduces that to 10%, you can estimate recovered hours per analyst per week. Surfaces the actual cost of administrative burden on knowledge-work output.</w:t>
            </w:r>
          </w:p>
        </w:tc>
      </w:tr>
    </w:tbl>
    <w:p>
      <w:pPr>
        <w:spacing w:after="80"/>
      </w:pPr>
    </w:p>
    <w:p>
      <w:r>
        <w:br w:type="page"/>
      </w:r>
    </w:p>
    <w:p>
      <w:pPr>
        <w:pStyle w:val="Heading2"/>
        <w:spacing w:before="280" w:after="40"/>
      </w:pPr>
      <w:r>
        <w:rPr>
          <w:b/>
          <w:color w:val="E87722"/>
          <w:sz w:val="18"/>
        </w:rPr>
        <w:t xml:space="preserve">METHOD 04   </w:t>
      </w:r>
      <w:r>
        <w:rPr>
          <w:b/>
          <w:color w:val="2D6A9F"/>
          <w:sz w:val="28"/>
        </w:rPr>
        <w:t>Vignette / Scenario-Based Item</w:t>
      </w:r>
    </w:p>
    <w:p>
      <w:pPr>
        <w:spacing w:before="40" w:after="120"/>
        <w:pBdr>
          <w:bottom w:val="single" w:sz="4" w:space="1" w:color="D0D8E4"/>
        </w:pBdr>
      </w:pPr>
    </w:p>
    <w:p>
      <w:pPr>
        <w:spacing w:before="0" w:after="120"/>
      </w:pPr>
      <w:r>
        <w:rPr>
          <w:b w:val="0"/>
          <w:i w:val="0"/>
          <w:color w:val="555555"/>
          <w:sz w:val="20"/>
        </w:rPr>
        <w:t>A vignette presents a brief, realistic scenario and asks respondents to react to it. This is preferable to abstract attitude questions when the construct is sensitive or hard to self-report accurately. Vignettes also allow systematic variation across conditions to isolate specific factors (e.g., who produced the work, what kind of output it is).</w:t>
      </w:r>
    </w:p>
    <w:p>
      <w:pPr>
        <w:spacing w:before="160" w:after="40"/>
      </w:pPr>
      <w:r>
        <w:rPr>
          <w:b/>
          <w:color w:val="E87722"/>
          <w:sz w:val="18"/>
        </w:rPr>
        <w:t>SCENARIO</w:t>
      </w:r>
    </w:p>
    <w:tbl>
      <w:tblPr>
        <w:tblStyle w:val="TableGrid"/>
        <w:tblW w:type="auto" w:w="0"/>
        <w:tblLook w:firstColumn="1" w:firstRow="1" w:lastColumn="0" w:lastRow="0" w:noHBand="0" w:noVBand="1" w:val="04A0"/>
      </w:tblPr>
      <w:tblGrid>
        <w:gridCol w:w="9072"/>
      </w:tblGrid>
      <w:tr>
        <w:tc>
          <w:tcPr>
            <w:tcW w:type="dxa" w:w="9072"/>
            <w:shd w:val="clear" w:color="auto" w:fill="F0F4F9"/>
          </w:tcPr>
          <w:p>
            <w:r>
              <w:rPr>
                <w:color w:val="1A1A2E"/>
                <w:sz w:val="20"/>
              </w:rPr>
              <w:t>Your colleague sends you a 10-page research brief on a policy topic you've been asked to brief leadership on. The brief is well-organized, clearly written, and cites relevant sources. You later learn it was drafted entirely by an AI tool, then reviewed and lightly edited by your colleague before sending.</w:t>
            </w:r>
          </w:p>
        </w:tc>
      </w:tr>
    </w:tbl>
    <w:p>
      <w:pPr>
        <w:spacing w:after="80"/>
      </w:pPr>
    </w:p>
    <w:p>
      <w:pPr>
        <w:spacing w:before="160" w:after="40"/>
      </w:pPr>
      <w:r>
        <w:rPr>
          <w:b/>
          <w:color w:val="E87722"/>
          <w:sz w:val="18"/>
        </w:rPr>
        <w:t>EXAMPLE QUESTIONS</w:t>
      </w:r>
    </w:p>
    <w:p>
      <w:pPr>
        <w:spacing w:before="0" w:after="60"/>
      </w:pPr>
      <w:r>
        <w:rPr>
          <w:b w:val="0"/>
          <w:i w:val="0"/>
          <w:sz w:val="21"/>
        </w:rPr>
        <w:t>Q4a.  How confident would you be using this brief to prepare your leadership presentation?</w:t>
      </w:r>
    </w:p>
    <w:p>
      <w:pPr>
        <w:pStyle w:val="ListBullet"/>
        <w:spacing w:after="40"/>
        <w:ind w:left="360"/>
      </w:pPr>
      <w:r>
        <w:rPr>
          <w:sz w:val="20"/>
        </w:rPr>
        <w:t>I would use it with no additional verification.</w:t>
      </w:r>
    </w:p>
    <w:p>
      <w:pPr>
        <w:pStyle w:val="ListBullet"/>
        <w:spacing w:after="40"/>
        <w:ind w:left="360"/>
      </w:pPr>
      <w:r>
        <w:rPr>
          <w:sz w:val="20"/>
        </w:rPr>
        <w:t>I would use it after spot-checking the key claims.</w:t>
      </w:r>
    </w:p>
    <w:p>
      <w:pPr>
        <w:pStyle w:val="ListBullet"/>
        <w:spacing w:after="40"/>
        <w:ind w:left="360"/>
      </w:pPr>
      <w:r>
        <w:rPr>
          <w:sz w:val="20"/>
        </w:rPr>
        <w:t>I would not use it without a full independent review.</w:t>
      </w:r>
    </w:p>
    <w:p>
      <w:pPr>
        <w:spacing w:before="0" w:after="60"/>
      </w:pPr>
      <w:r>
        <w:rPr>
          <w:b w:val="0"/>
          <w:i w:val="0"/>
          <w:sz w:val="21"/>
        </w:rPr>
        <w:t>Q4b.  Would your answer change if the brief had been drafted by a junior analyst instead of an AI?</w:t>
      </w:r>
    </w:p>
    <w:p>
      <w:pPr>
        <w:pStyle w:val="ListBullet"/>
        <w:spacing w:after="40"/>
        <w:ind w:left="360"/>
      </w:pPr>
      <w:r>
        <w:rPr>
          <w:sz w:val="20"/>
        </w:rPr>
        <w:t>Yes — I would be more confident.</w:t>
      </w:r>
    </w:p>
    <w:p>
      <w:pPr>
        <w:pStyle w:val="ListBullet"/>
        <w:spacing w:after="40"/>
        <w:ind w:left="360"/>
      </w:pPr>
      <w:r>
        <w:rPr>
          <w:sz w:val="20"/>
        </w:rPr>
        <w:t>Yes — I would be less confident.</w:t>
      </w:r>
    </w:p>
    <w:p>
      <w:pPr>
        <w:pStyle w:val="ListBullet"/>
        <w:spacing w:after="40"/>
        <w:ind w:left="360"/>
      </w:pPr>
      <w:r>
        <w:rPr>
          <w:sz w:val="20"/>
        </w:rPr>
        <w:t>No difference.</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Asking 'do you trust AI outputs?' produces socially desirable responses — people say what sounds reasonable, not what they'd actually do. The vignette bypasses this by grounding the question in a specific, plausible situation. You can also ask a reference group version: 'What would your colleague do with this brief?' People answer that more honestly than they answer about themselves, and the gap between the two answers reveals the real norm.</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Reveals whether AI skepticism is quality-based (fixable with better outputs) or identity-based (fixable with culture change). Pairing the self-report with a reference group question gives you both the stated attitude and a more truthful read on actual behavior.</w:t>
            </w:r>
          </w:p>
        </w:tc>
      </w:tr>
    </w:tbl>
    <w:p>
      <w:pPr>
        <w:spacing w:after="80"/>
      </w:pPr>
    </w:p>
    <w:p>
      <w:r>
        <w:br w:type="page"/>
      </w:r>
    </w:p>
    <w:p>
      <w:pPr>
        <w:pStyle w:val="Heading2"/>
        <w:spacing w:before="280" w:after="40"/>
      </w:pPr>
      <w:r>
        <w:rPr>
          <w:b/>
          <w:color w:val="E87722"/>
          <w:sz w:val="18"/>
        </w:rPr>
        <w:t xml:space="preserve">METHOD 05   </w:t>
      </w:r>
      <w:r>
        <w:rPr>
          <w:b/>
          <w:color w:val="2D6A9F"/>
          <w:sz w:val="28"/>
        </w:rPr>
        <w:t>Semantic Differential Scale</w:t>
      </w:r>
    </w:p>
    <w:p>
      <w:pPr>
        <w:spacing w:before="40" w:after="120"/>
        <w:pBdr>
          <w:bottom w:val="single" w:sz="4" w:space="1" w:color="D0D8E4"/>
        </w:pBdr>
      </w:pPr>
    </w:p>
    <w:p>
      <w:pPr>
        <w:spacing w:before="0" w:after="120"/>
      </w:pPr>
      <w:r>
        <w:rPr>
          <w:b w:val="0"/>
          <w:i w:val="0"/>
          <w:color w:val="555555"/>
          <w:sz w:val="20"/>
        </w:rPr>
        <w:t>A semantic differential presents bipolar adjective pairs at opposite ends of a scale. It captures the evaluative, potency, and activity dimensions of attitudes more richly than agree/disagree items — especially useful for brand perception, product experience, and emotional response research.</w:t>
      </w:r>
    </w:p>
    <w:p>
      <w:pPr>
        <w:spacing w:before="160" w:after="40"/>
      </w:pPr>
      <w:r>
        <w:rPr>
          <w:b/>
          <w:color w:val="E87722"/>
          <w:sz w:val="18"/>
        </w:rPr>
        <w:t>EXAMPLE QUESTION</w:t>
      </w:r>
    </w:p>
    <w:p>
      <w:pPr>
        <w:spacing w:before="0" w:after="80"/>
      </w:pPr>
      <w:r>
        <w:rPr>
          <w:b w:val="0"/>
          <w:i w:val="0"/>
          <w:sz w:val="21"/>
        </w:rPr>
        <w:t>Q5.  Using the scales below, indicate where your experience with the AI platform falls between each pair of words. (Mark the circle that best reflects your perception.)</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2D6A9F"/>
          </w:tcPr>
          <w:p>
            <w:r>
              <w:rPr>
                <w:sz w:val="18"/>
              </w:rPr>
            </w:r>
          </w:p>
        </w:tc>
        <w:tc>
          <w:tcPr>
            <w:tcW w:type="dxa" w:w="1008"/>
            <w:shd w:val="clear" w:color="auto" w:fill="2D6A9F"/>
          </w:tcPr>
          <w:p>
            <w:pPr>
              <w:jc w:val="center"/>
            </w:pPr>
            <w:r>
              <w:rPr>
                <w:b/>
                <w:color w:val="FFFFFF"/>
                <w:sz w:val="18"/>
              </w:rPr>
              <w:t>1</w:t>
            </w:r>
          </w:p>
        </w:tc>
        <w:tc>
          <w:tcPr>
            <w:tcW w:type="dxa" w:w="1008"/>
            <w:shd w:val="clear" w:color="auto" w:fill="2D6A9F"/>
          </w:tcPr>
          <w:p>
            <w:pPr>
              <w:jc w:val="center"/>
            </w:pPr>
            <w:r>
              <w:rPr>
                <w:b/>
                <w:color w:val="FFFFFF"/>
                <w:sz w:val="18"/>
              </w:rPr>
              <w:t>2</w:t>
            </w:r>
          </w:p>
        </w:tc>
        <w:tc>
          <w:tcPr>
            <w:tcW w:type="dxa" w:w="1008"/>
            <w:shd w:val="clear" w:color="auto" w:fill="2D6A9F"/>
          </w:tcPr>
          <w:p>
            <w:pPr>
              <w:jc w:val="center"/>
            </w:pPr>
            <w:r>
              <w:rPr>
                <w:b/>
                <w:color w:val="FFFFFF"/>
                <w:sz w:val="18"/>
              </w:rPr>
              <w:t>3</w:t>
            </w:r>
          </w:p>
        </w:tc>
        <w:tc>
          <w:tcPr>
            <w:tcW w:type="dxa" w:w="1008"/>
            <w:shd w:val="clear" w:color="auto" w:fill="2D6A9F"/>
          </w:tcPr>
          <w:p>
            <w:pPr>
              <w:jc w:val="center"/>
            </w:pPr>
            <w:r>
              <w:rPr>
                <w:b/>
                <w:color w:val="FFFFFF"/>
                <w:sz w:val="18"/>
              </w:rPr>
              <w:t>4</w:t>
            </w:r>
          </w:p>
        </w:tc>
        <w:tc>
          <w:tcPr>
            <w:tcW w:type="dxa" w:w="1008"/>
            <w:shd w:val="clear" w:color="auto" w:fill="2D6A9F"/>
          </w:tcPr>
          <w:p>
            <w:pPr>
              <w:jc w:val="center"/>
            </w:pPr>
            <w:r>
              <w:rPr>
                <w:b/>
                <w:color w:val="FFFFFF"/>
                <w:sz w:val="18"/>
              </w:rPr>
              <w:t>5</w:t>
            </w:r>
          </w:p>
        </w:tc>
        <w:tc>
          <w:tcPr>
            <w:tcW w:type="dxa" w:w="1008"/>
            <w:shd w:val="clear" w:color="auto" w:fill="2D6A9F"/>
          </w:tcPr>
          <w:p>
            <w:pPr>
              <w:jc w:val="center"/>
            </w:pPr>
            <w:r>
              <w:rPr>
                <w:b/>
                <w:color w:val="FFFFFF"/>
                <w:sz w:val="18"/>
              </w:rPr>
              <w:t>6</w:t>
            </w:r>
          </w:p>
        </w:tc>
        <w:tc>
          <w:tcPr>
            <w:tcW w:type="dxa" w:w="1008"/>
            <w:shd w:val="clear" w:color="auto" w:fill="2D6A9F"/>
          </w:tcPr>
          <w:p>
            <w:pPr>
              <w:jc w:val="center"/>
            </w:pPr>
            <w:r>
              <w:rPr>
                <w:b/>
                <w:color w:val="FFFFFF"/>
                <w:sz w:val="18"/>
              </w:rPr>
              <w:t>7</w:t>
            </w:r>
          </w:p>
        </w:tc>
        <w:tc>
          <w:tcPr>
            <w:tcW w:type="dxa" w:w="1008"/>
            <w:shd w:val="clear" w:color="auto" w:fill="2D6A9F"/>
          </w:tcPr>
          <w:p>
            <w:r>
              <w:rPr>
                <w:sz w:val="18"/>
              </w:rPr>
            </w:r>
          </w:p>
        </w:tc>
      </w:tr>
      <w:tr>
        <w:tc>
          <w:tcPr>
            <w:tcW w:type="dxa" w:w="1008"/>
            <w:shd w:val="clear" w:color="auto" w:fill="E8F2FB"/>
          </w:tcPr>
          <w:p>
            <w:pPr>
              <w:jc w:val="right"/>
            </w:pPr>
            <w:r>
              <w:rPr>
                <w:b/>
                <w:sz w:val="18"/>
              </w:rPr>
              <w:t>Confusing</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r>
              <w:rPr>
                <w:b/>
                <w:sz w:val="18"/>
              </w:rPr>
              <w:t>Intuitive</w:t>
            </w:r>
          </w:p>
        </w:tc>
      </w:tr>
      <w:tr>
        <w:tc>
          <w:tcPr>
            <w:tcW w:type="dxa" w:w="1008"/>
            <w:shd w:val="clear" w:color="auto" w:fill="FFFFFF"/>
          </w:tcPr>
          <w:p>
            <w:pPr>
              <w:jc w:val="right"/>
            </w:pPr>
            <w:r>
              <w:rPr>
                <w:b/>
                <w:sz w:val="18"/>
              </w:rPr>
              <w:t>Unreliable</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r>
              <w:rPr>
                <w:b/>
                <w:sz w:val="18"/>
              </w:rPr>
              <w:t>Dependable</w:t>
            </w:r>
          </w:p>
        </w:tc>
      </w:tr>
      <w:tr>
        <w:tc>
          <w:tcPr>
            <w:tcW w:type="dxa" w:w="1008"/>
            <w:shd w:val="clear" w:color="auto" w:fill="E8F2FB"/>
          </w:tcPr>
          <w:p>
            <w:pPr>
              <w:jc w:val="right"/>
            </w:pPr>
            <w:r>
              <w:rPr>
                <w:b/>
                <w:sz w:val="18"/>
              </w:rPr>
              <w:t>Threatening</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r>
              <w:rPr>
                <w:b/>
                <w:sz w:val="18"/>
              </w:rPr>
              <w:t>Empowering</w:t>
            </w:r>
          </w:p>
        </w:tc>
      </w:tr>
      <w:tr>
        <w:tc>
          <w:tcPr>
            <w:tcW w:type="dxa" w:w="1008"/>
            <w:shd w:val="clear" w:color="auto" w:fill="FFFFFF"/>
          </w:tcPr>
          <w:p>
            <w:pPr>
              <w:jc w:val="right"/>
            </w:pPr>
            <w:r>
              <w:rPr>
                <w:b/>
                <w:sz w:val="18"/>
              </w:rPr>
              <w:t>Rigid</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r>
              <w:rPr>
                <w:b/>
                <w:sz w:val="18"/>
              </w:rPr>
              <w:t>Flexible</w:t>
            </w:r>
          </w:p>
        </w:tc>
      </w:tr>
      <w:tr>
        <w:tc>
          <w:tcPr>
            <w:tcW w:type="dxa" w:w="1008"/>
            <w:shd w:val="clear" w:color="auto" w:fill="E8F2FB"/>
          </w:tcPr>
          <w:p>
            <w:pPr>
              <w:jc w:val="right"/>
            </w:pPr>
            <w:r>
              <w:rPr>
                <w:b/>
                <w:sz w:val="18"/>
              </w:rPr>
              <w:t>Impersonal</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pPr>
              <w:jc w:val="center"/>
            </w:pPr>
            <w:r>
              <w:rPr>
                <w:sz w:val="20"/>
              </w:rPr>
              <w:t>◯</w:t>
            </w:r>
          </w:p>
        </w:tc>
        <w:tc>
          <w:tcPr>
            <w:tcW w:type="dxa" w:w="1008"/>
            <w:shd w:val="clear" w:color="auto" w:fill="E8F2FB"/>
          </w:tcPr>
          <w:p>
            <w:r>
              <w:rPr>
                <w:b/>
                <w:sz w:val="18"/>
              </w:rPr>
              <w:t>Human</w:t>
            </w:r>
          </w:p>
        </w:tc>
      </w:tr>
      <w:tr>
        <w:tc>
          <w:tcPr>
            <w:tcW w:type="dxa" w:w="1008"/>
            <w:shd w:val="clear" w:color="auto" w:fill="FFFFFF"/>
          </w:tcPr>
          <w:p>
            <w:pPr>
              <w:jc w:val="right"/>
            </w:pPr>
            <w:r>
              <w:rPr>
                <w:b/>
                <w:sz w:val="18"/>
              </w:rPr>
              <w:t>Slow</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pPr>
              <w:jc w:val="center"/>
            </w:pPr>
            <w:r>
              <w:rPr>
                <w:sz w:val="20"/>
              </w:rPr>
              <w:t>◯</w:t>
            </w:r>
          </w:p>
        </w:tc>
        <w:tc>
          <w:tcPr>
            <w:tcW w:type="dxa" w:w="1008"/>
            <w:shd w:val="clear" w:color="auto" w:fill="FFFFFF"/>
          </w:tcPr>
          <w:p>
            <w:r>
              <w:rPr>
                <w:b/>
                <w:sz w:val="18"/>
              </w:rPr>
              <w:t>Fast</w:t>
            </w:r>
          </w:p>
        </w:tc>
      </w:tr>
    </w:tbl>
    <w:p>
      <w:pPr>
        <w:spacing w:after="12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Standard Likert scales are one-directional. A semantic differential captures the full perceptual space — a tool can be rated as fast AND impersonal, which is a very different profile than slow AND human. This matters for product positioning and UX communication strategy.</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Ideal for brand perception, product experience, and emotional tone research. The profiles cluster cleanly in analysis — you can visualize the 'personality' of a product or service and compare it across user segments, time points, or against a competitor.</w:t>
            </w:r>
          </w:p>
        </w:tc>
      </w:tr>
    </w:tbl>
    <w:p>
      <w:pPr>
        <w:spacing w:after="80"/>
      </w:pPr>
    </w:p>
    <w:p>
      <w:r>
        <w:br w:type="page"/>
      </w:r>
    </w:p>
    <w:p>
      <w:pPr>
        <w:pStyle w:val="Heading2"/>
        <w:spacing w:before="280" w:after="40"/>
      </w:pPr>
      <w:r>
        <w:rPr>
          <w:b/>
          <w:color w:val="E87722"/>
          <w:sz w:val="18"/>
        </w:rPr>
        <w:t xml:space="preserve">METHOD 06   </w:t>
      </w:r>
      <w:r>
        <w:rPr>
          <w:b/>
          <w:color w:val="2D6A9F"/>
          <w:sz w:val="28"/>
        </w:rPr>
        <w:t>Social Circle / Network Influence Item</w:t>
      </w:r>
    </w:p>
    <w:p>
      <w:pPr>
        <w:spacing w:before="40" w:after="120"/>
        <w:pBdr>
          <w:bottom w:val="single" w:sz="4" w:space="1" w:color="D0D8E4"/>
        </w:pBdr>
      </w:pPr>
    </w:p>
    <w:p>
      <w:pPr>
        <w:spacing w:before="0" w:after="120"/>
      </w:pPr>
      <w:r>
        <w:rPr>
          <w:b w:val="0"/>
          <w:i w:val="0"/>
          <w:color w:val="555555"/>
          <w:sz w:val="20"/>
        </w:rPr>
        <w:t>Social circle items ask respondents about the behaviors or attitudes of people in their immediate network. Rooted in descriptive norm research and peer influence theory, these items capture the social context of behavior — which is often a stronger predictor of individual adoption than attitudes alone.</w:t>
      </w:r>
    </w:p>
    <w:p>
      <w:pPr>
        <w:spacing w:before="160" w:after="40"/>
      </w:pPr>
      <w:r>
        <w:rPr>
          <w:b/>
          <w:color w:val="E87722"/>
          <w:sz w:val="18"/>
        </w:rPr>
        <w:t>EXAMPLE QUESTIONS</w:t>
      </w:r>
    </w:p>
    <w:p>
      <w:pPr>
        <w:spacing w:before="0" w:after="60"/>
      </w:pPr>
      <w:r>
        <w:rPr>
          <w:b w:val="0"/>
          <w:i w:val="0"/>
          <w:sz w:val="21"/>
        </w:rPr>
        <w:t>Q6a.  Think about the 5 colleagues you work with most closely. To the best of your knowledge, how many of them regularly use AI tools in their work?</w:t>
      </w:r>
    </w:p>
    <w:p>
      <w:pPr>
        <w:pStyle w:val="ListBullet"/>
        <w:spacing w:after="40"/>
        <w:ind w:left="360"/>
      </w:pPr>
      <w:r>
        <w:rPr>
          <w:sz w:val="20"/>
        </w:rPr>
        <w:t>0 of 5</w:t>
      </w:r>
    </w:p>
    <w:p>
      <w:pPr>
        <w:pStyle w:val="ListBullet"/>
        <w:spacing w:after="40"/>
        <w:ind w:left="360"/>
      </w:pPr>
      <w:r>
        <w:rPr>
          <w:sz w:val="20"/>
        </w:rPr>
        <w:t>1 of 5</w:t>
      </w:r>
    </w:p>
    <w:p>
      <w:pPr>
        <w:pStyle w:val="ListBullet"/>
        <w:spacing w:after="40"/>
        <w:ind w:left="360"/>
      </w:pPr>
      <w:r>
        <w:rPr>
          <w:sz w:val="20"/>
        </w:rPr>
        <w:t>2 of 5</w:t>
      </w:r>
    </w:p>
    <w:p>
      <w:pPr>
        <w:pStyle w:val="ListBullet"/>
        <w:spacing w:after="40"/>
        <w:ind w:left="360"/>
      </w:pPr>
      <w:r>
        <w:rPr>
          <w:sz w:val="20"/>
        </w:rPr>
        <w:t>3 of 5</w:t>
      </w:r>
    </w:p>
    <w:p>
      <w:pPr>
        <w:pStyle w:val="ListBullet"/>
        <w:spacing w:after="40"/>
        <w:ind w:left="360"/>
      </w:pPr>
      <w:r>
        <w:rPr>
          <w:sz w:val="20"/>
        </w:rPr>
        <w:t>4 of 5</w:t>
      </w:r>
    </w:p>
    <w:p>
      <w:pPr>
        <w:pStyle w:val="ListBullet"/>
        <w:spacing w:after="40"/>
        <w:ind w:left="360"/>
      </w:pPr>
      <w:r>
        <w:rPr>
          <w:sz w:val="20"/>
        </w:rPr>
        <w:t>5 of 5</w:t>
      </w:r>
    </w:p>
    <w:p>
      <w:pPr>
        <w:spacing w:before="0" w:after="60"/>
      </w:pPr>
      <w:r>
        <w:rPr>
          <w:b w:val="0"/>
          <w:i w:val="0"/>
          <w:sz w:val="21"/>
        </w:rPr>
        <w:t>Q6b.  In the past month, has a colleague recommended an AI tool to you, or have you recommended one to a colleague?</w:t>
      </w:r>
    </w:p>
    <w:p>
      <w:pPr>
        <w:pStyle w:val="ListBullet"/>
        <w:spacing w:after="40"/>
        <w:ind w:left="360"/>
      </w:pPr>
      <w:r>
        <w:rPr>
          <w:sz w:val="20"/>
        </w:rPr>
        <w:t>Yes — a colleague recommended one to me</w:t>
      </w:r>
    </w:p>
    <w:p>
      <w:pPr>
        <w:pStyle w:val="ListBullet"/>
        <w:spacing w:after="40"/>
        <w:ind w:left="360"/>
      </w:pPr>
      <w:r>
        <w:rPr>
          <w:sz w:val="20"/>
        </w:rPr>
        <w:t>Yes — I recommended one to a colleague</w:t>
      </w:r>
    </w:p>
    <w:p>
      <w:pPr>
        <w:pStyle w:val="ListBullet"/>
        <w:spacing w:after="40"/>
        <w:ind w:left="360"/>
      </w:pPr>
      <w:r>
        <w:rPr>
          <w:sz w:val="20"/>
        </w:rPr>
        <w:t>Both</w:t>
      </w:r>
    </w:p>
    <w:p>
      <w:pPr>
        <w:pStyle w:val="ListBullet"/>
        <w:spacing w:after="40"/>
        <w:ind w:left="360"/>
      </w:pPr>
      <w:r>
        <w:rPr>
          <w:sz w:val="20"/>
        </w:rPr>
        <w:t>Neither</w:t>
      </w:r>
    </w:p>
    <w:p>
      <w:pPr>
        <w:spacing w:before="0" w:after="60"/>
      </w:pPr>
      <w:r>
        <w:rPr>
          <w:b w:val="0"/>
          <w:i w:val="0"/>
          <w:sz w:val="21"/>
        </w:rPr>
        <w:t>Q6c.  How important is it to you that your colleagues view you as someone who stays current with new professional tools?</w:t>
      </w:r>
    </w:p>
    <w:p>
      <w:pPr>
        <w:pStyle w:val="ListBullet"/>
        <w:spacing w:after="40"/>
        <w:ind w:left="360"/>
      </w:pPr>
      <w:r>
        <w:rPr>
          <w:sz w:val="20"/>
        </w:rPr>
        <w:t>Not at all important</w:t>
      </w:r>
    </w:p>
    <w:p>
      <w:pPr>
        <w:pStyle w:val="ListBullet"/>
        <w:spacing w:after="40"/>
        <w:ind w:left="360"/>
      </w:pPr>
      <w:r>
        <w:rPr>
          <w:sz w:val="20"/>
        </w:rPr>
        <w:t>Slightly important</w:t>
      </w:r>
    </w:p>
    <w:p>
      <w:pPr>
        <w:pStyle w:val="ListBullet"/>
        <w:spacing w:after="40"/>
        <w:ind w:left="360"/>
      </w:pPr>
      <w:r>
        <w:rPr>
          <w:sz w:val="20"/>
        </w:rPr>
        <w:t>Moderately important</w:t>
      </w:r>
    </w:p>
    <w:p>
      <w:pPr>
        <w:pStyle w:val="ListBullet"/>
        <w:spacing w:after="40"/>
        <w:ind w:left="360"/>
      </w:pPr>
      <w:r>
        <w:rPr>
          <w:sz w:val="20"/>
        </w:rPr>
        <w:t>Very important</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Adoption behavior is shaped by what people believe others are doing. Q6a measures perceived peer adoption, which predicts individual adoption better than most attitude items. The key analytical move is comparing self-report to reference group report: ask 'would you do X?' and then 'would your colleague do X?' People answer the second question more honestly. The gap between those two answers is where the real norm lives — and it tells you whether adoption resistance is personal or social.</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If peer adoption is the primary predictor, the intervention is a champion network, not more training. Social circle items let you make that call with data instead of assumption.</w:t>
            </w:r>
          </w:p>
        </w:tc>
      </w:tr>
    </w:tbl>
    <w:p>
      <w:pPr>
        <w:spacing w:after="80"/>
      </w:pPr>
    </w:p>
    <w:p>
      <w:r>
        <w:br w:type="page"/>
      </w:r>
    </w:p>
    <w:p>
      <w:pPr>
        <w:pStyle w:val="Heading2"/>
        <w:spacing w:before="280" w:after="40"/>
      </w:pPr>
      <w:r>
        <w:rPr>
          <w:b/>
          <w:color w:val="E87722"/>
          <w:sz w:val="18"/>
        </w:rPr>
        <w:t xml:space="preserve">METHOD 07   </w:t>
      </w:r>
      <w:r>
        <w:rPr>
          <w:b/>
          <w:color w:val="2D6A9F"/>
          <w:sz w:val="28"/>
        </w:rPr>
        <w:t>Open-Ended Item with Structured Probe</w:t>
      </w:r>
    </w:p>
    <w:p>
      <w:pPr>
        <w:spacing w:before="40" w:after="120"/>
        <w:pBdr>
          <w:bottom w:val="single" w:sz="4" w:space="1" w:color="D0D8E4"/>
        </w:pBdr>
      </w:pPr>
    </w:p>
    <w:p>
      <w:pPr>
        <w:spacing w:before="0" w:after="120"/>
      </w:pPr>
      <w:r>
        <w:rPr>
          <w:b w:val="0"/>
          <w:i w:val="0"/>
          <w:color w:val="555555"/>
          <w:sz w:val="20"/>
        </w:rPr>
        <w:t>An open-ended item followed by a structured probe captures qualitative depth within a quantitative survey. The first item invites free expression; the probe anchors the response to a specific dimension. This is more efficient than a full qualitative interview for large samples while providing richer data than a closed item alone.</w:t>
      </w:r>
    </w:p>
    <w:p>
      <w:pPr>
        <w:spacing w:before="160" w:after="40"/>
      </w:pPr>
      <w:r>
        <w:rPr>
          <w:b/>
          <w:color w:val="E87722"/>
          <w:sz w:val="18"/>
        </w:rPr>
        <w:t>EXAMPLE QUESTIONS</w:t>
      </w:r>
    </w:p>
    <w:p>
      <w:pPr>
        <w:spacing w:before="0" w:after="80"/>
      </w:pPr>
      <w:r>
        <w:rPr>
          <w:b w:val="0"/>
          <w:i w:val="0"/>
          <w:sz w:val="21"/>
        </w:rPr>
        <w:t>Q7a.  In your own words, what is the biggest barrier to your organization fully embracing AI tools in research and analysis work?  [Open text — 500 character limit]</w:t>
      </w:r>
    </w:p>
    <w:tbl>
      <w:tblPr>
        <w:tblStyle w:val="TableGrid"/>
        <w:tblW w:type="auto" w:w="0"/>
        <w:tblLook w:firstColumn="1" w:firstRow="1" w:lastColumn="0" w:lastRow="0" w:noHBand="0" w:noVBand="1" w:val="04A0"/>
      </w:tblPr>
      <w:tblGrid>
        <w:gridCol w:w="9072"/>
      </w:tblGrid>
      <w:tr>
        <w:tc>
          <w:tcPr>
            <w:tcW w:type="dxa" w:w="9072"/>
            <w:shd w:val="clear" w:color="auto" w:fill="F8F8F8"/>
          </w:tcPr>
          <w:p>
            <w:r>
              <w:rPr>
                <w:sz w:val="20"/>
              </w:rPr>
              <w:br/>
              <w:br/>
              <w:br/>
            </w:r>
          </w:p>
        </w:tc>
      </w:tr>
    </w:tbl>
    <w:p>
      <w:pPr>
        <w:spacing w:after="80"/>
      </w:pPr>
    </w:p>
    <w:p>
      <w:pPr>
        <w:spacing w:before="0" w:after="60"/>
      </w:pPr>
      <w:r>
        <w:rPr>
          <w:b w:val="0"/>
          <w:i w:val="0"/>
          <w:sz w:val="21"/>
        </w:rPr>
        <w:t>Q7b.  [PROBE]  You mentioned a barrier. Which category does it best fit?</w:t>
      </w:r>
    </w:p>
    <w:p>
      <w:pPr>
        <w:pStyle w:val="ListBullet"/>
        <w:spacing w:after="40"/>
        <w:ind w:left="360"/>
      </w:pPr>
      <w:r>
        <w:rPr>
          <w:sz w:val="20"/>
        </w:rPr>
        <w:t>Technical limitations (quality, accuracy, speed)</w:t>
      </w:r>
    </w:p>
    <w:p>
      <w:pPr>
        <w:pStyle w:val="ListBullet"/>
        <w:spacing w:after="40"/>
        <w:ind w:left="360"/>
      </w:pPr>
      <w:r>
        <w:rPr>
          <w:sz w:val="20"/>
        </w:rPr>
        <w:t>Organizational culture or leadership support</w:t>
      </w:r>
    </w:p>
    <w:p>
      <w:pPr>
        <w:pStyle w:val="ListBullet"/>
        <w:spacing w:after="40"/>
        <w:ind w:left="360"/>
      </w:pPr>
      <w:r>
        <w:rPr>
          <w:sz w:val="20"/>
        </w:rPr>
        <w:t>Training or skill gaps</w:t>
      </w:r>
    </w:p>
    <w:p>
      <w:pPr>
        <w:pStyle w:val="ListBullet"/>
        <w:spacing w:after="40"/>
        <w:ind w:left="360"/>
      </w:pPr>
      <w:r>
        <w:rPr>
          <w:sz w:val="20"/>
        </w:rPr>
        <w:t>Data privacy or security concerns</w:t>
      </w:r>
    </w:p>
    <w:p>
      <w:pPr>
        <w:pStyle w:val="ListBullet"/>
        <w:spacing w:after="40"/>
        <w:ind w:left="360"/>
      </w:pPr>
      <w:r>
        <w:rPr>
          <w:sz w:val="20"/>
        </w:rPr>
        <w:t>Unclear use cases for my type of work</w:t>
      </w:r>
    </w:p>
    <w:p>
      <w:pPr>
        <w:pStyle w:val="ListBullet"/>
        <w:spacing w:after="40"/>
        <w:ind w:left="360"/>
      </w:pPr>
      <w:r>
        <w:rPr>
          <w:sz w:val="20"/>
        </w:rPr>
        <w:t>Other / cannot categorize</w:t>
      </w:r>
    </w:p>
    <w:p>
      <w:pPr>
        <w:spacing w:before="0" w:after="60"/>
      </w:pPr>
      <w:r>
        <w:rPr>
          <w:b w:val="0"/>
          <w:i w:val="0"/>
          <w:sz w:val="21"/>
        </w:rPr>
        <w:t>Q7c.  How long do you think it would take for this barrier to be meaningfully reduced at your organization?</w:t>
      </w:r>
    </w:p>
    <w:p>
      <w:pPr>
        <w:pStyle w:val="ListBullet"/>
        <w:spacing w:after="40"/>
        <w:ind w:left="360"/>
      </w:pPr>
      <w:r>
        <w:rPr>
          <w:sz w:val="20"/>
        </w:rPr>
        <w:t>Less than 6 months</w:t>
      </w:r>
    </w:p>
    <w:p>
      <w:pPr>
        <w:pStyle w:val="ListBullet"/>
        <w:spacing w:after="40"/>
        <w:ind w:left="360"/>
      </w:pPr>
      <w:r>
        <w:rPr>
          <w:sz w:val="20"/>
        </w:rPr>
        <w:t>6–12 months</w:t>
      </w:r>
    </w:p>
    <w:p>
      <w:pPr>
        <w:pStyle w:val="ListBullet"/>
        <w:spacing w:after="40"/>
        <w:ind w:left="360"/>
      </w:pPr>
      <w:r>
        <w:rPr>
          <w:sz w:val="20"/>
        </w:rPr>
        <w:t>1–2 years</w:t>
      </w:r>
    </w:p>
    <w:p>
      <w:pPr>
        <w:pStyle w:val="ListBullet"/>
        <w:spacing w:after="40"/>
        <w:ind w:left="360"/>
      </w:pPr>
      <w:r>
        <w:rPr>
          <w:sz w:val="20"/>
        </w:rPr>
        <w:t>More than 2 years</w:t>
      </w:r>
    </w:p>
    <w:p>
      <w:pPr>
        <w:pStyle w:val="ListBullet"/>
        <w:spacing w:after="40"/>
        <w:ind w:left="360"/>
      </w:pPr>
      <w:r>
        <w:rPr>
          <w:sz w:val="20"/>
        </w:rPr>
        <w:t>It won't be</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Pure open-ended items are hard to analyze at scale. The probe converts the qualitative response into a categorized data point without forcing the respondent into a box prematurely. Q7c adds a time-perception dimension that closed barrier items almost never capture but that matters enormously for planning.</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You get the richness of open text for discovery and the analyzability of closed categories for reporting. The time-horizon probe tells you how urgent respondents think the problem is — which sets realistic expectations for change management timelines.</w:t>
            </w:r>
          </w:p>
        </w:tc>
      </w:tr>
    </w:tbl>
    <w:p>
      <w:pPr>
        <w:spacing w:after="80"/>
      </w:pPr>
    </w:p>
    <w:p>
      <w:pPr>
        <w:spacing w:before="40" w:after="120"/>
        <w:pBdr>
          <w:bottom w:val="single" w:sz="4" w:space="1" w:color="D0D8E4"/>
        </w:pBdr>
      </w:pPr>
    </w:p>
    <w:p>
      <w:pPr>
        <w:spacing w:before="0" w:after="80"/>
      </w:pPr>
      <w:r>
        <w:rPr>
          <w:b w:val="0"/>
          <w:i w:val="0"/>
          <w:color w:val="555555"/>
          <w:sz w:val="18"/>
        </w:rPr>
        <w:t>About this document: All examples are drawn from or inspired by professional research engagements at RAND Corporation, the Gates Foundation EMO study, and behavioral science consulting work at JP Morgan Private Bank and TD Bank. Items have been anonymized for portfolio use.</w:t>
      </w:r>
    </w:p>
    <w:p>
      <w:pPr>
        <w:spacing w:before="0" w:after="120"/>
        <w:jc w:val="center"/>
      </w:pPr>
      <w:r>
        <w:rPr>
          <w:b w:val="0"/>
          <w:i w:val="0"/>
          <w:color w:val="555555"/>
          <w:sz w:val="16"/>
        </w:rPr>
        <w:t>Jeremy Barajas  |  barajas@alumni.usc.edu  |  RAND Corporation  |  M.B.D.S., University of Pennsylvania</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