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2D6A9F"/>
          <w:sz w:val="44"/>
        </w:rPr>
        <w:t>EXPERIMENTAL &amp; RESEARCH DESIGN SHOWCASE</w:t>
      </w:r>
    </w:p>
    <w:p>
      <w:pPr>
        <w:spacing w:before="0" w:after="40"/>
        <w:jc w:val="center"/>
      </w:pPr>
      <w:r>
        <w:rPr>
          <w:b w:val="0"/>
          <w:i w:val="0"/>
          <w:color w:val="555555"/>
          <w:sz w:val="22"/>
        </w:rPr>
        <w:t>Five research design approaches — with structure, hypotheses, power analysis, and validity threats.</w:t>
      </w:r>
    </w:p>
    <w:p>
      <w:pPr>
        <w:spacing w:before="0" w:after="40"/>
        <w:jc w:val="center"/>
      </w:pPr>
      <w:r>
        <w:rPr>
          <w:b/>
          <w:i w:val="0"/>
          <w:sz w:val="22"/>
        </w:rPr>
        <w:t>Jeremy Barajas  |  Behavioral Scientist &amp; Mixed-Methods Researcher</w:t>
      </w:r>
    </w:p>
    <w:p>
      <w:pPr>
        <w:spacing w:before="0" w:after="160"/>
        <w:jc w:val="center"/>
      </w:pPr>
      <w:r>
        <w:rPr>
          <w:b w:val="0"/>
          <w:i w:val="0"/>
          <w:color w:val="555555"/>
          <w:sz w:val="20"/>
        </w:rPr>
        <w:t>RAND Corporation  ·  University of Pennsylvania (M.B.D.S.)  ·  USC (B.A. Psychology, Honors)</w:t>
      </w:r>
    </w:p>
    <w:p>
      <w:pPr>
        <w:spacing w:before="40" w:after="120"/>
        <w:pBdr>
          <w:bottom w:val="single" w:sz="4" w:space="1" w:color="D0D8E4"/>
        </w:pBdr>
      </w:pPr>
    </w:p>
    <w:p>
      <w:pPr>
        <w:spacing w:before="0" w:after="200"/>
      </w:pPr>
      <w:r>
        <w:rPr>
          <w:b w:val="0"/>
          <w:i w:val="0"/>
          <w:sz w:val="20"/>
        </w:rPr>
        <w:t>Five experimental and quasi-experimental research designs, each built around a realistic business or consulting problem. Includes design logic, worked example, power analysis, and validity threats.</w:t>
      </w:r>
    </w:p>
    <w:p>
      <w:pPr>
        <w:spacing w:before="160" w:after="40"/>
      </w:pPr>
      <w:r>
        <w:rPr>
          <w:b/>
          <w:color w:val="E87722"/>
          <w:sz w:val="18"/>
        </w:rPr>
        <w:t>CONTENTS</w:t>
      </w:r>
    </w:p>
    <w:p>
      <w:pPr>
        <w:spacing w:before="0" w:after="40"/>
      </w:pPr>
      <w:r>
        <w:rPr>
          <w:b w:val="0"/>
          <w:i w:val="0"/>
          <w:sz w:val="20"/>
        </w:rPr>
        <w:t>Design 01  —  Between-Subjects Randomized Controlled Trial (RCT)</w:t>
      </w:r>
    </w:p>
    <w:p>
      <w:pPr>
        <w:spacing w:before="0" w:after="40"/>
      </w:pPr>
      <w:r>
        <w:rPr>
          <w:b w:val="0"/>
          <w:i w:val="0"/>
          <w:sz w:val="20"/>
        </w:rPr>
        <w:t>Design 02  —  Within-Subjects / Repeated Measures</w:t>
      </w:r>
    </w:p>
    <w:p>
      <w:pPr>
        <w:spacing w:before="0" w:after="40"/>
      </w:pPr>
      <w:r>
        <w:rPr>
          <w:b w:val="0"/>
          <w:i w:val="0"/>
          <w:sz w:val="20"/>
        </w:rPr>
        <w:t>Design 03  —  Survey Experiment (Vignette Factorial Design)</w:t>
      </w:r>
    </w:p>
    <w:p>
      <w:pPr>
        <w:spacing w:before="0" w:after="40"/>
      </w:pPr>
      <w:r>
        <w:rPr>
          <w:b w:val="0"/>
          <w:i w:val="0"/>
          <w:sz w:val="20"/>
        </w:rPr>
        <w:t>Design 04  —  Pre/Post with Control Group (Quasi-Experimental, DiD)</w:t>
      </w:r>
    </w:p>
    <w:p>
      <w:pPr>
        <w:spacing w:before="0" w:after="40"/>
      </w:pPr>
      <w:r>
        <w:rPr>
          <w:b w:val="0"/>
          <w:i w:val="0"/>
          <w:sz w:val="20"/>
        </w:rPr>
        <w:t>Design 05  —  Behavioral Nudge A/B Test (Three-Arm)</w:t>
      </w:r>
    </w:p>
    <w:p>
      <w:r>
        <w:br w:type="page"/>
      </w:r>
    </w:p>
    <w:p>
      <w:pPr>
        <w:pStyle w:val="Heading2"/>
        <w:spacing w:before="280" w:after="40"/>
      </w:pPr>
      <w:r>
        <w:rPr>
          <w:b/>
          <w:color w:val="E87722"/>
          <w:sz w:val="18"/>
        </w:rPr>
        <w:t xml:space="preserve">DESIGN 01   </w:t>
      </w:r>
      <w:r>
        <w:rPr>
          <w:b/>
          <w:color w:val="2D6A9F"/>
          <w:sz w:val="28"/>
        </w:rPr>
        <w:t>Between-Subjects Randomized Controlled Trial (RCT)</w:t>
      </w:r>
    </w:p>
    <w:p>
      <w:pPr>
        <w:spacing w:before="40" w:after="120"/>
        <w:pBdr>
          <w:bottom w:val="single" w:sz="4" w:space="1" w:color="D0D8E4"/>
        </w:pBdr>
      </w:pPr>
    </w:p>
    <w:p>
      <w:pPr>
        <w:spacing w:before="0" w:after="120"/>
      </w:pPr>
      <w:r>
        <w:rPr>
          <w:b w:val="0"/>
          <w:i w:val="0"/>
          <w:color w:val="555555"/>
          <w:sz w:val="20"/>
        </w:rPr>
        <w:t>The RCT is the gold standard for causal inference. Each participant sees only one condition, and random assignment eliminates systematic confounding between groups.</w:t>
      </w:r>
    </w:p>
    <w:p>
      <w:pPr>
        <w:spacing w:before="160" w:after="40"/>
      </w:pPr>
      <w:r>
        <w:rPr>
          <w:b/>
          <w:color w:val="E87722"/>
          <w:sz w:val="18"/>
        </w:rPr>
        <w:t>WORKED EXAMPLE / DESIGN SPECIFICATION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2D6A9F"/>
          </w:tcPr>
          <w:p>
            <w:r>
              <w:rPr>
                <w:b/>
                <w:color w:val="FFFFFF"/>
                <w:sz w:val="18"/>
              </w:rPr>
              <w:t>Business problem</w:t>
            </w:r>
          </w:p>
        </w:tc>
        <w:tc>
          <w:tcPr>
            <w:tcW w:type="dxa" w:w="7200"/>
            <w:shd w:val="clear" w:color="auto" w:fill="2D6A9F"/>
          </w:tcPr>
          <w:p>
            <w:r>
              <w:rPr>
                <w:color w:val="FFFFFF"/>
                <w:sz w:val="18"/>
              </w:rPr>
              <w:t>An e-commerce client wants to know: does showing customer reviews on the checkout page reduce cart abandonment, or does it distract buyers and increase drop-off?</w:t>
            </w:r>
          </w:p>
        </w:tc>
      </w:tr>
      <w:tr>
        <w:tc>
          <w:tcPr>
            <w:tcW w:type="dxa" w:w="2160"/>
            <w:shd w:val="clear" w:color="auto" w:fill="E8F2FB"/>
          </w:tcPr>
          <w:p>
            <w:r>
              <w:rPr>
                <w:b/>
                <w:color w:val="1A1A2E"/>
                <w:sz w:val="18"/>
              </w:rPr>
              <w:t>Research question</w:t>
            </w:r>
          </w:p>
        </w:tc>
        <w:tc>
          <w:tcPr>
            <w:tcW w:type="dxa" w:w="7200"/>
            <w:shd w:val="clear" w:color="auto" w:fill="E8F2FB"/>
          </w:tcPr>
          <w:p>
            <w:r>
              <w:rPr>
                <w:color w:val="1A1A2E"/>
                <w:sz w:val="18"/>
              </w:rPr>
              <w:t>Does displaying social proof (star ratings + review count) on the checkout page increase purchase completion relative to no social proof?</w:t>
            </w:r>
          </w:p>
        </w:tc>
      </w:tr>
      <w:tr>
        <w:tc>
          <w:tcPr>
            <w:tcW w:type="dxa" w:w="2160"/>
            <w:shd w:val="clear" w:color="auto" w:fill="FFFFFF"/>
          </w:tcPr>
          <w:p>
            <w:r>
              <w:rPr>
                <w:b/>
                <w:color w:val="1A1A2E"/>
                <w:sz w:val="18"/>
              </w:rPr>
              <w:t>Hypothesis</w:t>
            </w:r>
          </w:p>
        </w:tc>
        <w:tc>
          <w:tcPr>
            <w:tcW w:type="dxa" w:w="7200"/>
            <w:shd w:val="clear" w:color="auto" w:fill="FFFFFF"/>
          </w:tcPr>
          <w:p>
            <w:r>
              <w:rPr>
                <w:color w:val="1A1A2E"/>
                <w:sz w:val="18"/>
              </w:rPr>
              <w:t>Users in the social proof condition will complete purchase at a higher rate than users in the control condition. (One-tailed, α=.05.)</w:t>
            </w:r>
          </w:p>
        </w:tc>
      </w:tr>
      <w:tr>
        <w:tc>
          <w:tcPr>
            <w:tcW w:type="dxa" w:w="2160"/>
            <w:shd w:val="clear" w:color="auto" w:fill="E8F2FB"/>
          </w:tcPr>
          <w:p>
            <w:r>
              <w:rPr>
                <w:b/>
                <w:color w:val="1A1A2E"/>
                <w:sz w:val="18"/>
              </w:rPr>
              <w:t>Conditions</w:t>
            </w:r>
          </w:p>
        </w:tc>
        <w:tc>
          <w:tcPr>
            <w:tcW w:type="dxa" w:w="7200"/>
            <w:shd w:val="clear" w:color="auto" w:fill="E8F2FB"/>
          </w:tcPr>
          <w:p>
            <w:r>
              <w:rPr>
                <w:color w:val="1A1A2E"/>
                <w:sz w:val="18"/>
              </w:rPr>
              <w:t>Control: checkout page with no reviews (n=500)</w:t>
              <w:br/>
              <w:t>Treatment: checkout page with star rating + review count displayed (n=500)</w:t>
            </w:r>
          </w:p>
        </w:tc>
      </w:tr>
      <w:tr>
        <w:tc>
          <w:tcPr>
            <w:tcW w:type="dxa" w:w="2160"/>
            <w:shd w:val="clear" w:color="auto" w:fill="FFFFFF"/>
          </w:tcPr>
          <w:p>
            <w:r>
              <w:rPr>
                <w:b/>
                <w:color w:val="1A1A2E"/>
                <w:sz w:val="18"/>
              </w:rPr>
              <w:t>Randomization</w:t>
            </w:r>
          </w:p>
        </w:tc>
        <w:tc>
          <w:tcPr>
            <w:tcW w:type="dxa" w:w="7200"/>
            <w:shd w:val="clear" w:color="auto" w:fill="FFFFFF"/>
          </w:tcPr>
          <w:p>
            <w:r>
              <w:rPr>
                <w:color w:val="1A1A2E"/>
                <w:sz w:val="18"/>
              </w:rPr>
              <w:t>Cookie-level randomization; users held in their assigned condition across sessions.</w:t>
            </w:r>
          </w:p>
        </w:tc>
      </w:tr>
      <w:tr>
        <w:tc>
          <w:tcPr>
            <w:tcW w:type="dxa" w:w="2160"/>
            <w:shd w:val="clear" w:color="auto" w:fill="E8F2FB"/>
          </w:tcPr>
          <w:p>
            <w:r>
              <w:rPr>
                <w:b/>
                <w:color w:val="1A1A2E"/>
                <w:sz w:val="18"/>
              </w:rPr>
              <w:t>Primary outcome</w:t>
            </w:r>
          </w:p>
        </w:tc>
        <w:tc>
          <w:tcPr>
            <w:tcW w:type="dxa" w:w="7200"/>
            <w:shd w:val="clear" w:color="auto" w:fill="E8F2FB"/>
          </w:tcPr>
          <w:p>
            <w:r>
              <w:rPr>
                <w:color w:val="1A1A2E"/>
                <w:sz w:val="18"/>
              </w:rPr>
              <w:t>Purchase completion within the session (binary).</w:t>
            </w:r>
          </w:p>
        </w:tc>
      </w:tr>
      <w:tr>
        <w:tc>
          <w:tcPr>
            <w:tcW w:type="dxa" w:w="2160"/>
            <w:shd w:val="clear" w:color="auto" w:fill="FFFFFF"/>
          </w:tcPr>
          <w:p>
            <w:r>
              <w:rPr>
                <w:b/>
                <w:color w:val="1A1A2E"/>
                <w:sz w:val="18"/>
              </w:rPr>
              <w:t>Analysis</w:t>
            </w:r>
          </w:p>
        </w:tc>
        <w:tc>
          <w:tcPr>
            <w:tcW w:type="dxa" w:w="7200"/>
            <w:shd w:val="clear" w:color="auto" w:fill="FFFFFF"/>
          </w:tcPr>
          <w:p>
            <w:r>
              <w:rPr>
                <w:color w:val="1A1A2E"/>
                <w:sz w:val="18"/>
              </w:rPr>
              <w:t>Chi-square test on completion rate; logistic regression controlling for device type, traffic source, and cart value.</w:t>
            </w:r>
          </w:p>
        </w:tc>
      </w:tr>
      <w:tr>
        <w:tc>
          <w:tcPr>
            <w:tcW w:type="dxa" w:w="2160"/>
            <w:shd w:val="clear" w:color="auto" w:fill="E8F2FB"/>
          </w:tcPr>
          <w:p>
            <w:r>
              <w:rPr>
                <w:b/>
                <w:color w:val="1A1A2E"/>
                <w:sz w:val="18"/>
              </w:rPr>
              <w:t>Power</w:t>
            </w:r>
          </w:p>
        </w:tc>
        <w:tc>
          <w:tcPr>
            <w:tcW w:type="dxa" w:w="7200"/>
            <w:shd w:val="clear" w:color="auto" w:fill="E8F2FB"/>
          </w:tcPr>
          <w:p>
            <w:r>
              <w:rPr>
                <w:color w:val="1A1A2E"/>
                <w:sz w:val="18"/>
              </w:rPr>
              <w:t>Detecting Δ=3pp (12%→15% completion) with 80% power at α=.05 requires n=430/group. N=500/group provides attrition buffer.</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DESIGN</w:t>
            </w:r>
          </w:p>
        </w:tc>
        <w:tc>
          <w:tcPr>
            <w:tcW w:type="dxa" w:w="4536"/>
            <w:shd w:val="clear" w:color="auto" w:fill="E8F2FB"/>
          </w:tcPr>
          <w:p>
            <w:pPr>
              <w:jc w:val="left"/>
            </w:pPr>
            <w:r>
              <w:rPr>
                <w:color w:val="1A1A2E"/>
                <w:sz w:val="18"/>
              </w:rPr>
              <w:t>Only an RCT establishes that social proof caused the difference. Without randomization, high-intent buyers might self-select into seeing reviews through other pathways, confounding the estimate.</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AEAEC"/>
          </w:tcPr>
          <w:p>
            <w:r>
              <w:rPr>
                <w:b/>
                <w:color w:val="9B2335"/>
                <w:sz w:val="18"/>
              </w:rPr>
              <w:t>LIMITATIONS</w:t>
            </w:r>
          </w:p>
        </w:tc>
        <w:tc>
          <w:tcPr>
            <w:tcW w:type="dxa" w:w="4536"/>
            <w:shd w:val="clear" w:color="auto" w:fill="FAEAEC"/>
          </w:tcPr>
          <w:p>
            <w:pPr>
              <w:jc w:val="left"/>
            </w:pPr>
            <w:r>
              <w:rPr>
                <w:color w:val="1A1A2E"/>
                <w:sz w:val="18"/>
              </w:rPr>
              <w:t>Requires sufficient traffic volume to reach target N within a reasonable test window. Seasonal effects can bias results if treatment and control periods do not overlap.</w:t>
            </w:r>
          </w:p>
        </w:tc>
      </w:tr>
    </w:tbl>
    <w:p>
      <w:pPr>
        <w:spacing w:after="80"/>
      </w:pPr>
    </w:p>
    <w:p>
      <w:r>
        <w:br w:type="page"/>
      </w:r>
    </w:p>
    <w:p>
      <w:pPr>
        <w:pStyle w:val="Heading2"/>
        <w:spacing w:before="280" w:after="40"/>
      </w:pPr>
      <w:r>
        <w:rPr>
          <w:b/>
          <w:color w:val="E87722"/>
          <w:sz w:val="18"/>
        </w:rPr>
        <w:t xml:space="preserve">DESIGN 02   </w:t>
      </w:r>
      <w:r>
        <w:rPr>
          <w:b/>
          <w:color w:val="2D6A9F"/>
          <w:sz w:val="28"/>
        </w:rPr>
        <w:t>Within-Subjects / Repeated Measures</w:t>
      </w:r>
    </w:p>
    <w:p>
      <w:pPr>
        <w:spacing w:before="40" w:after="120"/>
        <w:pBdr>
          <w:bottom w:val="single" w:sz="4" w:space="1" w:color="D0D8E4"/>
        </w:pBdr>
      </w:pPr>
    </w:p>
    <w:p>
      <w:pPr>
        <w:spacing w:before="0" w:after="120"/>
      </w:pPr>
      <w:r>
        <w:rPr>
          <w:b w:val="0"/>
          <w:i w:val="0"/>
          <w:color w:val="555555"/>
          <w:sz w:val="20"/>
        </w:rPr>
        <w:t>Each participant experiences all conditions, eliminating between-person variance and dramatically increasing statistical power. Requires careful sequencing to prevent earlier conditions from contaminating later ones.</w:t>
      </w:r>
    </w:p>
    <w:p>
      <w:pPr>
        <w:spacing w:before="160" w:after="40"/>
      </w:pPr>
      <w:r>
        <w:rPr>
          <w:b/>
          <w:color w:val="E87722"/>
          <w:sz w:val="18"/>
        </w:rPr>
        <w:t>WORKED EXAMPLE / DESIGN SPECIFICATION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2D6A9F"/>
          </w:tcPr>
          <w:p>
            <w:r>
              <w:rPr>
                <w:b/>
                <w:color w:val="FFFFFF"/>
                <w:sz w:val="18"/>
              </w:rPr>
              <w:t>Business problem</w:t>
            </w:r>
          </w:p>
        </w:tc>
        <w:tc>
          <w:tcPr>
            <w:tcW w:type="dxa" w:w="7200"/>
            <w:shd w:val="clear" w:color="auto" w:fill="2D6A9F"/>
          </w:tcPr>
          <w:p>
            <w:r>
              <w:rPr>
                <w:color w:val="FFFFFF"/>
                <w:sz w:val="18"/>
              </w:rPr>
              <w:t>A SaaS company suspects users rate their product differently depending on whether they see a competitor's interface first. They want to measure the framing effect without running two separate studies.</w:t>
            </w:r>
          </w:p>
        </w:tc>
      </w:tr>
      <w:tr>
        <w:tc>
          <w:tcPr>
            <w:tcW w:type="dxa" w:w="2160"/>
            <w:shd w:val="clear" w:color="auto" w:fill="E8F2FB"/>
          </w:tcPr>
          <w:p>
            <w:r>
              <w:rPr>
                <w:b/>
                <w:color w:val="1A1A2E"/>
                <w:sz w:val="18"/>
              </w:rPr>
              <w:t>Research question</w:t>
            </w:r>
          </w:p>
        </w:tc>
        <w:tc>
          <w:tcPr>
            <w:tcW w:type="dxa" w:w="7200"/>
            <w:shd w:val="clear" w:color="auto" w:fill="E8F2FB"/>
          </w:tcPr>
          <w:p>
            <w:r>
              <w:rPr>
                <w:color w:val="1A1A2E"/>
                <w:sz w:val="18"/>
              </w:rPr>
              <w:t>Does exposure order (own product first vs. competitor first) affect perceived usability ratings?</w:t>
            </w:r>
          </w:p>
        </w:tc>
      </w:tr>
      <w:tr>
        <w:tc>
          <w:tcPr>
            <w:tcW w:type="dxa" w:w="2160"/>
            <w:shd w:val="clear" w:color="auto" w:fill="FFFFFF"/>
          </w:tcPr>
          <w:p>
            <w:r>
              <w:rPr>
                <w:b/>
                <w:color w:val="1A1A2E"/>
                <w:sz w:val="18"/>
              </w:rPr>
              <w:t>Hypothesis</w:t>
            </w:r>
          </w:p>
        </w:tc>
        <w:tc>
          <w:tcPr>
            <w:tcW w:type="dxa" w:w="7200"/>
            <w:shd w:val="clear" w:color="auto" w:fill="FFFFFF"/>
          </w:tcPr>
          <w:p>
            <w:r>
              <w:rPr>
                <w:color w:val="1A1A2E"/>
                <w:sz w:val="18"/>
              </w:rPr>
              <w:t>Users who see the competitor interface first will rate the client's product higher than users who see it first, due to contrast effects.</w:t>
            </w:r>
          </w:p>
        </w:tc>
      </w:tr>
      <w:tr>
        <w:tc>
          <w:tcPr>
            <w:tcW w:type="dxa" w:w="2160"/>
            <w:shd w:val="clear" w:color="auto" w:fill="E8F2FB"/>
          </w:tcPr>
          <w:p>
            <w:r>
              <w:rPr>
                <w:b/>
                <w:color w:val="1A1A2E"/>
                <w:sz w:val="18"/>
              </w:rPr>
              <w:t>Conditions</w:t>
            </w:r>
          </w:p>
        </w:tc>
        <w:tc>
          <w:tcPr>
            <w:tcW w:type="dxa" w:w="7200"/>
            <w:shd w:val="clear" w:color="auto" w:fill="E8F2FB"/>
          </w:tcPr>
          <w:p>
            <w:r>
              <w:rPr>
                <w:color w:val="1A1A2E"/>
                <w:sz w:val="18"/>
              </w:rPr>
              <w:t>Each participant rates both interfaces. Order counterbalanced: half see client first, half see competitor first.</w:t>
            </w:r>
          </w:p>
        </w:tc>
      </w:tr>
      <w:tr>
        <w:tc>
          <w:tcPr>
            <w:tcW w:type="dxa" w:w="2160"/>
            <w:shd w:val="clear" w:color="auto" w:fill="FFFFFF"/>
          </w:tcPr>
          <w:p>
            <w:r>
              <w:rPr>
                <w:b/>
                <w:color w:val="1A1A2E"/>
                <w:sz w:val="18"/>
              </w:rPr>
              <w:t>Stimuli</w:t>
            </w:r>
          </w:p>
        </w:tc>
        <w:tc>
          <w:tcPr>
            <w:tcW w:type="dxa" w:w="7200"/>
            <w:shd w:val="clear" w:color="auto" w:fill="FFFFFF"/>
          </w:tcPr>
          <w:p>
            <w:r>
              <w:rPr>
                <w:color w:val="1A1A2E"/>
                <w:sz w:val="18"/>
              </w:rPr>
              <w:t>Identical task scenarios administered in both interfaces. 10-minute washout task between sessions.</w:t>
            </w:r>
          </w:p>
        </w:tc>
      </w:tr>
      <w:tr>
        <w:tc>
          <w:tcPr>
            <w:tcW w:type="dxa" w:w="2160"/>
            <w:shd w:val="clear" w:color="auto" w:fill="E8F2FB"/>
          </w:tcPr>
          <w:p>
            <w:r>
              <w:rPr>
                <w:b/>
                <w:color w:val="1A1A2E"/>
                <w:sz w:val="18"/>
              </w:rPr>
              <w:t>Outcome</w:t>
            </w:r>
          </w:p>
        </w:tc>
        <w:tc>
          <w:tcPr>
            <w:tcW w:type="dxa" w:w="7200"/>
            <w:shd w:val="clear" w:color="auto" w:fill="E8F2FB"/>
          </w:tcPr>
          <w:p>
            <w:r>
              <w:rPr>
                <w:color w:val="1A1A2E"/>
                <w:sz w:val="18"/>
              </w:rPr>
              <w:t>Usability rating (1–7 SUS-adapted scale); task completion time.</w:t>
            </w:r>
          </w:p>
        </w:tc>
      </w:tr>
      <w:tr>
        <w:tc>
          <w:tcPr>
            <w:tcW w:type="dxa" w:w="2160"/>
            <w:shd w:val="clear" w:color="auto" w:fill="FFFFFF"/>
          </w:tcPr>
          <w:p>
            <w:r>
              <w:rPr>
                <w:b/>
                <w:color w:val="1A1A2E"/>
                <w:sz w:val="18"/>
              </w:rPr>
              <w:t>Analysis</w:t>
            </w:r>
          </w:p>
        </w:tc>
        <w:tc>
          <w:tcPr>
            <w:tcW w:type="dxa" w:w="7200"/>
            <w:shd w:val="clear" w:color="auto" w:fill="FFFFFF"/>
          </w:tcPr>
          <w:p>
            <w:r>
              <w:rPr>
                <w:color w:val="1A1A2E"/>
                <w:sz w:val="18"/>
              </w:rPr>
              <w:t>Repeated-measures ANOVA; order as between-subjects factor to test for contrast effect.</w:t>
            </w:r>
          </w:p>
        </w:tc>
      </w:tr>
      <w:tr>
        <w:tc>
          <w:tcPr>
            <w:tcW w:type="dxa" w:w="2160"/>
            <w:shd w:val="clear" w:color="auto" w:fill="E8F2FB"/>
          </w:tcPr>
          <w:p>
            <w:r>
              <w:rPr>
                <w:b/>
                <w:color w:val="1A1A2E"/>
                <w:sz w:val="18"/>
              </w:rPr>
              <w:t>Power</w:t>
            </w:r>
          </w:p>
        </w:tc>
        <w:tc>
          <w:tcPr>
            <w:tcW w:type="dxa" w:w="7200"/>
            <w:shd w:val="clear" w:color="auto" w:fill="E8F2FB"/>
          </w:tcPr>
          <w:p>
            <w:r>
              <w:rPr>
                <w:color w:val="1A1A2E"/>
                <w:sz w:val="18"/>
              </w:rPr>
              <w:t>Within-subjects correlation ≈.5; Cohen's d=0.4 detectable with n=52 at 80% power.</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DESIGN</w:t>
            </w:r>
          </w:p>
        </w:tc>
        <w:tc>
          <w:tcPr>
            <w:tcW w:type="dxa" w:w="4536"/>
            <w:shd w:val="clear" w:color="auto" w:fill="E8F2FB"/>
          </w:tcPr>
          <w:p>
            <w:pPr>
              <w:jc w:val="left"/>
            </w:pPr>
            <w:r>
              <w:rPr>
                <w:color w:val="1A1A2E"/>
                <w:sz w:val="18"/>
              </w:rPr>
              <w:t>Each participant serves as their own control. Individual differences in general usability standards drop out of the analysis, leaving a cleaner estimate of the order effect.</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AEAEC"/>
          </w:tcPr>
          <w:p>
            <w:r>
              <w:rPr>
                <w:b/>
                <w:color w:val="9B2335"/>
                <w:sz w:val="18"/>
              </w:rPr>
              <w:t>LIMITATIONS</w:t>
            </w:r>
          </w:p>
        </w:tc>
        <w:tc>
          <w:tcPr>
            <w:tcW w:type="dxa" w:w="4536"/>
            <w:shd w:val="clear" w:color="auto" w:fill="FAEAEC"/>
          </w:tcPr>
          <w:p>
            <w:pPr>
              <w:jc w:val="left"/>
            </w:pPr>
            <w:r>
              <w:rPr>
                <w:color w:val="1A1A2E"/>
                <w:sz w:val="18"/>
              </w:rPr>
              <w:t>Demand characteristics: participants may adjust ratings after seeing both products. Not appropriate when product exposure has a permanent learning effect.</w:t>
            </w:r>
          </w:p>
        </w:tc>
      </w:tr>
    </w:tbl>
    <w:p>
      <w:pPr>
        <w:spacing w:after="80"/>
      </w:pPr>
    </w:p>
    <w:p>
      <w:r>
        <w:br w:type="page"/>
      </w:r>
    </w:p>
    <w:p>
      <w:pPr>
        <w:pStyle w:val="Heading2"/>
        <w:spacing w:before="280" w:after="40"/>
      </w:pPr>
      <w:r>
        <w:rPr>
          <w:b/>
          <w:color w:val="E87722"/>
          <w:sz w:val="18"/>
        </w:rPr>
        <w:t xml:space="preserve">DESIGN 03   </w:t>
      </w:r>
      <w:r>
        <w:rPr>
          <w:b/>
          <w:color w:val="2D6A9F"/>
          <w:sz w:val="28"/>
        </w:rPr>
        <w:t>Survey Experiment (Vignette Factorial Design)</w:t>
      </w:r>
    </w:p>
    <w:p>
      <w:pPr>
        <w:spacing w:before="40" w:after="120"/>
        <w:pBdr>
          <w:bottom w:val="single" w:sz="4" w:space="1" w:color="D0D8E4"/>
        </w:pBdr>
      </w:pPr>
    </w:p>
    <w:p>
      <w:pPr>
        <w:spacing w:before="0" w:after="120"/>
      </w:pPr>
      <w:r>
        <w:rPr>
          <w:b w:val="0"/>
          <w:i w:val="0"/>
          <w:color w:val="555555"/>
          <w:sz w:val="20"/>
        </w:rPr>
        <w:t>A survey experiment embeds a randomized manipulation inside a survey. Respondents are randomly assigned to different versions of a scenario. Useful when the behavior of interest is sensitive, rare, or difficult to observe directly.</w:t>
      </w:r>
    </w:p>
    <w:p>
      <w:pPr>
        <w:spacing w:before="160" w:after="40"/>
      </w:pPr>
      <w:r>
        <w:rPr>
          <w:b/>
          <w:color w:val="E87722"/>
          <w:sz w:val="18"/>
        </w:rPr>
        <w:t>WORKED EXAMPLE / DESIGN SPECIFICATION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2D6A9F"/>
          </w:tcPr>
          <w:p>
            <w:r>
              <w:rPr>
                <w:b/>
                <w:color w:val="FFFFFF"/>
                <w:sz w:val="18"/>
              </w:rPr>
              <w:t>Business problem</w:t>
            </w:r>
          </w:p>
        </w:tc>
        <w:tc>
          <w:tcPr>
            <w:tcW w:type="dxa" w:w="7200"/>
            <w:shd w:val="clear" w:color="auto" w:fill="2D6A9F"/>
          </w:tcPr>
          <w:p>
            <w:r>
              <w:rPr>
                <w:color w:val="FFFFFF"/>
                <w:sz w:val="18"/>
              </w:rPr>
              <w:t>A restaurant chain wants to know whether calorie labeling increases healthy menu selection — but they can't run a field experiment across locations without tipping off staff and changing service behavior.</w:t>
            </w:r>
          </w:p>
        </w:tc>
      </w:tr>
      <w:tr>
        <w:tc>
          <w:tcPr>
            <w:tcW w:type="dxa" w:w="2160"/>
            <w:shd w:val="clear" w:color="auto" w:fill="E8F2FB"/>
          </w:tcPr>
          <w:p>
            <w:r>
              <w:rPr>
                <w:b/>
                <w:color w:val="1A1A2E"/>
                <w:sz w:val="18"/>
              </w:rPr>
              <w:t>Research question</w:t>
            </w:r>
          </w:p>
        </w:tc>
        <w:tc>
          <w:tcPr>
            <w:tcW w:type="dxa" w:w="7200"/>
            <w:shd w:val="clear" w:color="auto" w:fill="E8F2FB"/>
          </w:tcPr>
          <w:p>
            <w:r>
              <w:rPr>
                <w:color w:val="1A1A2E"/>
                <w:sz w:val="18"/>
              </w:rPr>
              <w:t>Does displaying calorie counts on a menu (vs. not) affect stated meal selection, and does the effect differ by customer health motivation?</w:t>
            </w:r>
          </w:p>
        </w:tc>
      </w:tr>
      <w:tr>
        <w:tc>
          <w:tcPr>
            <w:tcW w:type="dxa" w:w="2160"/>
            <w:shd w:val="clear" w:color="auto" w:fill="FFFFFF"/>
          </w:tcPr>
          <w:p>
            <w:r>
              <w:rPr>
                <w:b/>
                <w:color w:val="1A1A2E"/>
                <w:sz w:val="18"/>
              </w:rPr>
              <w:t>Design</w:t>
            </w:r>
          </w:p>
        </w:tc>
        <w:tc>
          <w:tcPr>
            <w:tcW w:type="dxa" w:w="7200"/>
            <w:shd w:val="clear" w:color="auto" w:fill="FFFFFF"/>
          </w:tcPr>
          <w:p>
            <w:r>
              <w:rPr>
                <w:color w:val="1A1A2E"/>
                <w:sz w:val="18"/>
              </w:rPr>
              <w:t>2×2 factorial. Factor A: Calorie label (present vs. absent). Factor B: Customer type (health-motivated vs. not). N=150 per cell, N=600 total.</w:t>
            </w:r>
          </w:p>
        </w:tc>
      </w:tr>
      <w:tr>
        <w:tc>
          <w:tcPr>
            <w:tcW w:type="dxa" w:w="2160"/>
            <w:shd w:val="clear" w:color="auto" w:fill="E8F2FB"/>
          </w:tcPr>
          <w:p>
            <w:r>
              <w:rPr>
                <w:b/>
                <w:color w:val="1A1A2E"/>
                <w:sz w:val="18"/>
              </w:rPr>
              <w:t>Main effects</w:t>
            </w:r>
          </w:p>
        </w:tc>
        <w:tc>
          <w:tcPr>
            <w:tcW w:type="dxa" w:w="7200"/>
            <w:shd w:val="clear" w:color="auto" w:fill="E8F2FB"/>
          </w:tcPr>
          <w:p>
            <w:r>
              <w:rPr>
                <w:color w:val="1A1A2E"/>
                <w:sz w:val="18"/>
              </w:rPr>
              <w:t>H₁: Calorie labels shift selection toward lower-calorie items.</w:t>
              <w:br/>
              <w:t>H₂: Health-motivated customers show stronger label effect.</w:t>
            </w:r>
          </w:p>
        </w:tc>
      </w:tr>
      <w:tr>
        <w:tc>
          <w:tcPr>
            <w:tcW w:type="dxa" w:w="2160"/>
            <w:shd w:val="clear" w:color="auto" w:fill="FFFFFF"/>
          </w:tcPr>
          <w:p>
            <w:r>
              <w:rPr>
                <w:b/>
                <w:color w:val="1A1A2E"/>
                <w:sz w:val="18"/>
              </w:rPr>
              <w:t>Interaction</w:t>
            </w:r>
          </w:p>
        </w:tc>
        <w:tc>
          <w:tcPr>
            <w:tcW w:type="dxa" w:w="7200"/>
            <w:shd w:val="clear" w:color="auto" w:fill="FFFFFF"/>
          </w:tcPr>
          <w:p>
            <w:r>
              <w:rPr>
                <w:color w:val="1A1A2E"/>
                <w:sz w:val="18"/>
              </w:rPr>
              <w:t>H₃: Label × motivation interaction — labels may only matter for already health-motivated customers.</w:t>
            </w:r>
          </w:p>
        </w:tc>
      </w:tr>
      <w:tr>
        <w:tc>
          <w:tcPr>
            <w:tcW w:type="dxa" w:w="2160"/>
            <w:shd w:val="clear" w:color="auto" w:fill="E8F2FB"/>
          </w:tcPr>
          <w:p>
            <w:r>
              <w:rPr>
                <w:b/>
                <w:color w:val="1A1A2E"/>
                <w:sz w:val="18"/>
              </w:rPr>
              <w:t>Outcome</w:t>
            </w:r>
          </w:p>
        </w:tc>
        <w:tc>
          <w:tcPr>
            <w:tcW w:type="dxa" w:w="7200"/>
            <w:shd w:val="clear" w:color="auto" w:fill="E8F2FB"/>
          </w:tcPr>
          <w:p>
            <w:r>
              <w:rPr>
                <w:color w:val="1A1A2E"/>
                <w:sz w:val="18"/>
              </w:rPr>
              <w:t>Stated meal choice (calories); willingness to pay for healthy option.</w:t>
            </w:r>
          </w:p>
        </w:tc>
      </w:tr>
      <w:tr>
        <w:tc>
          <w:tcPr>
            <w:tcW w:type="dxa" w:w="2160"/>
            <w:shd w:val="clear" w:color="auto" w:fill="FFFFFF"/>
          </w:tcPr>
          <w:p>
            <w:r>
              <w:rPr>
                <w:b/>
                <w:color w:val="1A1A2E"/>
                <w:sz w:val="18"/>
              </w:rPr>
              <w:t>Analysis</w:t>
            </w:r>
          </w:p>
        </w:tc>
        <w:tc>
          <w:tcPr>
            <w:tcW w:type="dxa" w:w="7200"/>
            <w:shd w:val="clear" w:color="auto" w:fill="FFFFFF"/>
          </w:tcPr>
          <w:p>
            <w:r>
              <w:rPr>
                <w:color w:val="1A1A2E"/>
                <w:sz w:val="18"/>
              </w:rPr>
              <w:t>2x2 ANOVA; effect sizes (η²); planned contrasts for interaction.</w:t>
            </w:r>
          </w:p>
        </w:tc>
      </w:tr>
      <w:tr>
        <w:tc>
          <w:tcPr>
            <w:tcW w:type="dxa" w:w="2160"/>
            <w:shd w:val="clear" w:color="auto" w:fill="E8F2FB"/>
          </w:tcPr>
          <w:p>
            <w:r>
              <w:rPr>
                <w:b/>
                <w:color w:val="1A1A2E"/>
                <w:sz w:val="18"/>
              </w:rPr>
              <w:t>Power</w:t>
            </w:r>
          </w:p>
        </w:tc>
        <w:tc>
          <w:tcPr>
            <w:tcW w:type="dxa" w:w="7200"/>
            <w:shd w:val="clear" w:color="auto" w:fill="E8F2FB"/>
          </w:tcPr>
          <w:p>
            <w:r>
              <w:rPr>
                <w:color w:val="1A1A2E"/>
                <w:sz w:val="18"/>
              </w:rPr>
              <w:t>Main effect d=0.25 detectable with 80% power at n=100/cell. 150/cell provides power for interaction.</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DESIGN</w:t>
            </w:r>
          </w:p>
        </w:tc>
        <w:tc>
          <w:tcPr>
            <w:tcW w:type="dxa" w:w="4536"/>
            <w:shd w:val="clear" w:color="auto" w:fill="E8F2FB"/>
          </w:tcPr>
          <w:p>
            <w:pPr>
              <w:jc w:val="left"/>
            </w:pPr>
            <w:r>
              <w:rPr>
                <w:color w:val="1A1A2E"/>
                <w:sz w:val="18"/>
              </w:rPr>
              <w:t>Separates the label effect from customer motivation in a single study. Field data can't disentangle these because health-motivated customers already choose differently.</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AEAEC"/>
          </w:tcPr>
          <w:p>
            <w:r>
              <w:rPr>
                <w:b/>
                <w:color w:val="9B2335"/>
                <w:sz w:val="18"/>
              </w:rPr>
              <w:t>LIMITATIONS</w:t>
            </w:r>
          </w:p>
        </w:tc>
        <w:tc>
          <w:tcPr>
            <w:tcW w:type="dxa" w:w="4536"/>
            <w:shd w:val="clear" w:color="auto" w:fill="FAEAEC"/>
          </w:tcPr>
          <w:p>
            <w:pPr>
              <w:jc w:val="left"/>
            </w:pPr>
            <w:r>
              <w:rPr>
                <w:color w:val="1A1A2E"/>
                <w:sz w:val="18"/>
              </w:rPr>
              <w:t>Stated choices may overestimate real behavior (social desirability). Vignettes simplify real ordering contexts. Interaction effects require larger N than main effects.</w:t>
            </w:r>
          </w:p>
        </w:tc>
      </w:tr>
    </w:tbl>
    <w:p>
      <w:pPr>
        <w:spacing w:after="80"/>
      </w:pPr>
    </w:p>
    <w:p>
      <w:r>
        <w:br w:type="page"/>
      </w:r>
    </w:p>
    <w:p>
      <w:pPr>
        <w:pStyle w:val="Heading2"/>
        <w:spacing w:before="280" w:after="40"/>
      </w:pPr>
      <w:r>
        <w:rPr>
          <w:b/>
          <w:color w:val="E87722"/>
          <w:sz w:val="18"/>
        </w:rPr>
        <w:t xml:space="preserve">DESIGN 04   </w:t>
      </w:r>
      <w:r>
        <w:rPr>
          <w:b/>
          <w:color w:val="2D6A9F"/>
          <w:sz w:val="28"/>
        </w:rPr>
        <w:t>Pre/Post with Control Group (Quasi-Experimental, DiD)</w:t>
      </w:r>
    </w:p>
    <w:p>
      <w:pPr>
        <w:spacing w:before="40" w:after="120"/>
        <w:pBdr>
          <w:bottom w:val="single" w:sz="4" w:space="1" w:color="D0D8E4"/>
        </w:pBdr>
      </w:pPr>
    </w:p>
    <w:p>
      <w:pPr>
        <w:spacing w:before="0" w:after="120"/>
      </w:pPr>
      <w:r>
        <w:rPr>
          <w:b w:val="0"/>
          <w:i w:val="0"/>
          <w:color w:val="555555"/>
          <w:sz w:val="20"/>
        </w:rPr>
        <w:t>When randomization isn't feasible, the difference-in-differences (DiD) framework uses a non-equivalent control group to remove shared time trends from the causal estimate.</w:t>
      </w:r>
    </w:p>
    <w:p>
      <w:pPr>
        <w:spacing w:before="160" w:after="40"/>
      </w:pPr>
      <w:r>
        <w:rPr>
          <w:b/>
          <w:color w:val="E87722"/>
          <w:sz w:val="18"/>
        </w:rPr>
        <w:t>WORKED EXAMPLE / DESIGN SPECIFICATION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2D6A9F"/>
          </w:tcPr>
          <w:p>
            <w:r>
              <w:rPr>
                <w:b/>
                <w:color w:val="FFFFFF"/>
                <w:sz w:val="18"/>
              </w:rPr>
              <w:t>Business problem</w:t>
            </w:r>
          </w:p>
        </w:tc>
        <w:tc>
          <w:tcPr>
            <w:tcW w:type="dxa" w:w="7200"/>
            <w:shd w:val="clear" w:color="auto" w:fill="2D6A9F"/>
          </w:tcPr>
          <w:p>
            <w:r>
              <w:rPr>
                <w:color w:val="FFFFFF"/>
                <w:sz w:val="18"/>
              </w:rPr>
              <w:t>A retail chain rolled out a new employee incentive program in 12 stores but not in 8 others due to budget. Leadership wants to know if the program increased sales — but didn't randomize which stores got it.</w:t>
            </w:r>
          </w:p>
        </w:tc>
      </w:tr>
      <w:tr>
        <w:tc>
          <w:tcPr>
            <w:tcW w:type="dxa" w:w="2160"/>
            <w:shd w:val="clear" w:color="auto" w:fill="E8F2FB"/>
          </w:tcPr>
          <w:p>
            <w:r>
              <w:rPr>
                <w:b/>
                <w:color w:val="1A1A2E"/>
                <w:sz w:val="18"/>
              </w:rPr>
              <w:t>Research question</w:t>
            </w:r>
          </w:p>
        </w:tc>
        <w:tc>
          <w:tcPr>
            <w:tcW w:type="dxa" w:w="7200"/>
            <w:shd w:val="clear" w:color="auto" w:fill="E8F2FB"/>
          </w:tcPr>
          <w:p>
            <w:r>
              <w:rPr>
                <w:color w:val="1A1A2E"/>
                <w:sz w:val="18"/>
              </w:rPr>
              <w:t>Did the incentive program increase monthly revenue in treated stores, net of trends affecting all stores?</w:t>
            </w:r>
          </w:p>
        </w:tc>
      </w:tr>
      <w:tr>
        <w:tc>
          <w:tcPr>
            <w:tcW w:type="dxa" w:w="2160"/>
            <w:shd w:val="clear" w:color="auto" w:fill="FFFFFF"/>
          </w:tcPr>
          <w:p>
            <w:r>
              <w:rPr>
                <w:b/>
                <w:color w:val="1A1A2E"/>
                <w:sz w:val="18"/>
              </w:rPr>
              <w:t>DiD estimate</w:t>
            </w:r>
          </w:p>
        </w:tc>
        <w:tc>
          <w:tcPr>
            <w:tcW w:type="dxa" w:w="7200"/>
            <w:shd w:val="clear" w:color="auto" w:fill="FFFFFF"/>
          </w:tcPr>
          <w:p>
            <w:r>
              <w:rPr>
                <w:color w:val="1A1A2E"/>
                <w:sz w:val="18"/>
              </w:rPr>
              <w:t>Treated stores: +$18K/month avg (pre→post). Control stores: +$6K/month avg (same period). DiD causal estimate: +$12K/month attributable to the program.</w:t>
            </w:r>
          </w:p>
        </w:tc>
      </w:tr>
      <w:tr>
        <w:tc>
          <w:tcPr>
            <w:tcW w:type="dxa" w:w="2160"/>
            <w:shd w:val="clear" w:color="auto" w:fill="E8F2FB"/>
          </w:tcPr>
          <w:p>
            <w:r>
              <w:rPr>
                <w:b/>
                <w:color w:val="1A1A2E"/>
                <w:sz w:val="18"/>
              </w:rPr>
              <w:t>Key assumption</w:t>
            </w:r>
          </w:p>
        </w:tc>
        <w:tc>
          <w:tcPr>
            <w:tcW w:type="dxa" w:w="7200"/>
            <w:shd w:val="clear" w:color="auto" w:fill="E8F2FB"/>
          </w:tcPr>
          <w:p>
            <w:r>
              <w:rPr>
                <w:color w:val="1A1A2E"/>
                <w:sz w:val="18"/>
              </w:rPr>
              <w:t>Parallel trends: treated and control stores would have grown at the same rate without the program. Validated by plotting the 6 months prior to rollout.</w:t>
            </w:r>
          </w:p>
        </w:tc>
      </w:tr>
      <w:tr>
        <w:tc>
          <w:tcPr>
            <w:tcW w:type="dxa" w:w="2160"/>
            <w:shd w:val="clear" w:color="auto" w:fill="FFFFFF"/>
          </w:tcPr>
          <w:p>
            <w:r>
              <w:rPr>
                <w:b/>
                <w:color w:val="1A1A2E"/>
                <w:sz w:val="18"/>
              </w:rPr>
              <w:t>Threats</w:t>
            </w:r>
          </w:p>
        </w:tc>
        <w:tc>
          <w:tcPr>
            <w:tcW w:type="dxa" w:w="7200"/>
            <w:shd w:val="clear" w:color="auto" w:fill="FFFFFF"/>
          </w:tcPr>
          <w:p>
            <w:r>
              <w:rPr>
                <w:color w:val="1A1A2E"/>
                <w:sz w:val="18"/>
              </w:rPr>
              <w:t>Selection bias (high-performing stores may have been chosen for the program); spillover if treated-store staff share tactics with control-store staff.</w:t>
            </w:r>
          </w:p>
        </w:tc>
      </w:tr>
      <w:tr>
        <w:tc>
          <w:tcPr>
            <w:tcW w:type="dxa" w:w="2160"/>
            <w:shd w:val="clear" w:color="auto" w:fill="E8F2FB"/>
          </w:tcPr>
          <w:p>
            <w:r>
              <w:rPr>
                <w:b/>
                <w:color w:val="1A1A2E"/>
                <w:sz w:val="18"/>
              </w:rPr>
              <w:t>Analysis</w:t>
            </w:r>
          </w:p>
        </w:tc>
        <w:tc>
          <w:tcPr>
            <w:tcW w:type="dxa" w:w="7200"/>
            <w:shd w:val="clear" w:color="auto" w:fill="E8F2FB"/>
          </w:tcPr>
          <w:p>
            <w:r>
              <w:rPr>
                <w:color w:val="1A1A2E"/>
                <w:sz w:val="18"/>
              </w:rPr>
              <w:t>DiD regression with store and month fixed effects; cluster-robust standard errors at store level.</w:t>
            </w:r>
          </w:p>
        </w:tc>
      </w:tr>
      <w:tr>
        <w:tc>
          <w:tcPr>
            <w:tcW w:type="dxa" w:w="2160"/>
            <w:shd w:val="clear" w:color="auto" w:fill="FFFFFF"/>
          </w:tcPr>
          <w:p>
            <w:r>
              <w:rPr>
                <w:b/>
                <w:color w:val="1A1A2E"/>
                <w:sz w:val="18"/>
              </w:rPr>
              <w:t>Data required</w:t>
            </w:r>
          </w:p>
        </w:tc>
        <w:tc>
          <w:tcPr>
            <w:tcW w:type="dxa" w:w="7200"/>
            <w:shd w:val="clear" w:color="auto" w:fill="FFFFFF"/>
          </w:tcPr>
          <w:p>
            <w:r>
              <w:rPr>
                <w:color w:val="1A1A2E"/>
                <w:sz w:val="18"/>
              </w:rPr>
              <w:t>Monthly revenue for all stores for 6+ months before and after rollout; program assignment records.</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DESIGN</w:t>
            </w:r>
          </w:p>
        </w:tc>
        <w:tc>
          <w:tcPr>
            <w:tcW w:type="dxa" w:w="4536"/>
            <w:shd w:val="clear" w:color="auto" w:fill="E8F2FB"/>
          </w:tcPr>
          <w:p>
            <w:pPr>
              <w:jc w:val="left"/>
            </w:pPr>
            <w:r>
              <w:rPr>
                <w:color w:val="1A1A2E"/>
                <w:sz w:val="18"/>
              </w:rPr>
              <w:t>Extracts a credible causal estimate from a rollout that wasn't randomized. The control stores show what would have happened to treated stores without the program.</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AEAEC"/>
          </w:tcPr>
          <w:p>
            <w:r>
              <w:rPr>
                <w:b/>
                <w:color w:val="9B2335"/>
                <w:sz w:val="18"/>
              </w:rPr>
              <w:t>LIMITATIONS</w:t>
            </w:r>
          </w:p>
        </w:tc>
        <w:tc>
          <w:tcPr>
            <w:tcW w:type="dxa" w:w="4536"/>
            <w:shd w:val="clear" w:color="auto" w:fill="FAEAEC"/>
          </w:tcPr>
          <w:p>
            <w:pPr>
              <w:jc w:val="left"/>
            </w:pPr>
            <w:r>
              <w:rPr>
                <w:color w:val="1A1A2E"/>
                <w:sz w:val="18"/>
              </w:rPr>
              <w:t>Parallel trends assumption is untestable in the post-period. Results are sensitive to which stores were selected for treatment and why.</w:t>
            </w:r>
          </w:p>
        </w:tc>
      </w:tr>
    </w:tbl>
    <w:p>
      <w:pPr>
        <w:spacing w:after="80"/>
      </w:pPr>
    </w:p>
    <w:p>
      <w:r>
        <w:br w:type="page"/>
      </w:r>
    </w:p>
    <w:p>
      <w:pPr>
        <w:pStyle w:val="Heading2"/>
        <w:spacing w:before="280" w:after="40"/>
      </w:pPr>
      <w:r>
        <w:rPr>
          <w:b/>
          <w:color w:val="E87722"/>
          <w:sz w:val="18"/>
        </w:rPr>
        <w:t xml:space="preserve">DESIGN 05   </w:t>
      </w:r>
      <w:r>
        <w:rPr>
          <w:b/>
          <w:color w:val="2D6A9F"/>
          <w:sz w:val="28"/>
        </w:rPr>
        <w:t>Behavioral Nudge A/B Test (Three-Arm)</w:t>
      </w:r>
    </w:p>
    <w:p>
      <w:pPr>
        <w:spacing w:before="40" w:after="120"/>
        <w:pBdr>
          <w:bottom w:val="single" w:sz="4" w:space="1" w:color="D0D8E4"/>
        </w:pBdr>
      </w:pPr>
    </w:p>
    <w:p>
      <w:pPr>
        <w:spacing w:before="0" w:after="120"/>
      </w:pPr>
      <w:r>
        <w:rPr>
          <w:b w:val="0"/>
          <w:i w:val="0"/>
          <w:color w:val="555555"/>
          <w:sz w:val="20"/>
        </w:rPr>
        <w:t>A nudge A/B test applies choice architecture — social proof, implementation intentions, loss framing — to shift behavior at scale. A multi-arm design identifies which mechanism is working, not just whether any message helps.</w:t>
      </w:r>
    </w:p>
    <w:p>
      <w:pPr>
        <w:spacing w:before="160" w:after="40"/>
      </w:pPr>
      <w:r>
        <w:rPr>
          <w:b/>
          <w:color w:val="E87722"/>
          <w:sz w:val="18"/>
        </w:rPr>
        <w:t>WORKED EXAMPLE / DESIGN SPECIFICATION</w:t>
      </w:r>
    </w:p>
    <w:tbl>
      <w:tblPr>
        <w:tblStyle w:val="TableGrid"/>
        <w:tblW w:type="auto" w:w="0"/>
        <w:jc w:val="left"/>
        <w:tblLook w:firstColumn="1" w:firstRow="1" w:lastColumn="0" w:lastRow="0" w:noHBand="0" w:noVBand="1" w:val="04A0"/>
      </w:tblPr>
      <w:tblGrid>
        <w:gridCol w:w="4536"/>
        <w:gridCol w:w="4536"/>
      </w:tblGrid>
      <w:tr>
        <w:tc>
          <w:tcPr>
            <w:tcW w:type="dxa" w:w="2160"/>
            <w:shd w:val="clear" w:color="auto" w:fill="2D6A9F"/>
          </w:tcPr>
          <w:p>
            <w:r>
              <w:rPr>
                <w:b/>
                <w:color w:val="FFFFFF"/>
                <w:sz w:val="18"/>
              </w:rPr>
              <w:t>Business problem</w:t>
            </w:r>
          </w:p>
        </w:tc>
        <w:tc>
          <w:tcPr>
            <w:tcW w:type="dxa" w:w="7200"/>
            <w:shd w:val="clear" w:color="auto" w:fill="2D6A9F"/>
          </w:tcPr>
          <w:p>
            <w:r>
              <w:rPr>
                <w:color w:val="FFFFFF"/>
                <w:sz w:val="18"/>
              </w:rPr>
              <w:t>A subscription app has a large free-tier user base but low conversion to paid. Email campaigns have had minimal effect. The client wants to know which message framing drives the most upgrades.</w:t>
            </w:r>
          </w:p>
        </w:tc>
      </w:tr>
      <w:tr>
        <w:tc>
          <w:tcPr>
            <w:tcW w:type="dxa" w:w="2160"/>
            <w:shd w:val="clear" w:color="auto" w:fill="E8F2FB"/>
          </w:tcPr>
          <w:p>
            <w:r>
              <w:rPr>
                <w:b/>
                <w:color w:val="1A1A2E"/>
                <w:sz w:val="18"/>
              </w:rPr>
              <w:t>Research question</w:t>
            </w:r>
          </w:p>
        </w:tc>
        <w:tc>
          <w:tcPr>
            <w:tcW w:type="dxa" w:w="7200"/>
            <w:shd w:val="clear" w:color="auto" w:fill="E8F2FB"/>
          </w:tcPr>
          <w:p>
            <w:r>
              <w:rPr>
                <w:color w:val="1A1A2E"/>
                <w:sz w:val="18"/>
              </w:rPr>
              <w:t>Which email framing most increases free-to-paid conversion within 7 days?</w:t>
            </w:r>
          </w:p>
        </w:tc>
      </w:tr>
      <w:tr>
        <w:tc>
          <w:tcPr>
            <w:tcW w:type="dxa" w:w="2160"/>
            <w:shd w:val="clear" w:color="auto" w:fill="FFFFFF"/>
          </w:tcPr>
          <w:p>
            <w:r>
              <w:rPr>
                <w:b/>
                <w:color w:val="1A1A2E"/>
                <w:sz w:val="18"/>
              </w:rPr>
              <w:t>Arm A (Control)</w:t>
            </w:r>
          </w:p>
        </w:tc>
        <w:tc>
          <w:tcPr>
            <w:tcW w:type="dxa" w:w="7200"/>
            <w:shd w:val="clear" w:color="auto" w:fill="FFFFFF"/>
          </w:tcPr>
          <w:p>
            <w:r>
              <w:rPr>
                <w:color w:val="1A1A2E"/>
                <w:sz w:val="18"/>
              </w:rPr>
              <w:t>Standard: 'Upgrade to unlock all features.'</w:t>
            </w:r>
          </w:p>
        </w:tc>
      </w:tr>
      <w:tr>
        <w:tc>
          <w:tcPr>
            <w:tcW w:type="dxa" w:w="2160"/>
            <w:shd w:val="clear" w:color="auto" w:fill="E8F2FB"/>
          </w:tcPr>
          <w:p>
            <w:r>
              <w:rPr>
                <w:b/>
                <w:color w:val="1A1A2E"/>
                <w:sz w:val="18"/>
              </w:rPr>
              <w:t>Arm B — Social proof</w:t>
            </w:r>
          </w:p>
        </w:tc>
        <w:tc>
          <w:tcPr>
            <w:tcW w:type="dxa" w:w="7200"/>
            <w:shd w:val="clear" w:color="auto" w:fill="E8F2FB"/>
          </w:tcPr>
          <w:p>
            <w:r>
              <w:rPr>
                <w:color w:val="1A1A2E"/>
                <w:sz w:val="18"/>
              </w:rPr>
              <w:t>'Join the 62% of users who upgraded last month.'  (Descriptive norm — Cialdini, 1984)</w:t>
            </w:r>
          </w:p>
        </w:tc>
      </w:tr>
      <w:tr>
        <w:tc>
          <w:tcPr>
            <w:tcW w:type="dxa" w:w="2160"/>
            <w:shd w:val="clear" w:color="auto" w:fill="FFFFFF"/>
          </w:tcPr>
          <w:p>
            <w:r>
              <w:rPr>
                <w:b/>
                <w:color w:val="1A1A2E"/>
                <w:sz w:val="18"/>
              </w:rPr>
              <w:t>Arm C — Impl. intention</w:t>
            </w:r>
          </w:p>
        </w:tc>
        <w:tc>
          <w:tcPr>
            <w:tcW w:type="dxa" w:w="7200"/>
            <w:shd w:val="clear" w:color="auto" w:fill="FFFFFF"/>
          </w:tcPr>
          <w:p>
            <w:r>
              <w:rPr>
                <w:color w:val="1A1A2E"/>
                <w:sz w:val="18"/>
              </w:rPr>
              <w:t>'Pick a time this week to try premium free for 7 days. [Choose a time]'  (Planning prompt — Gollwitzer, 1999)</w:t>
            </w:r>
          </w:p>
        </w:tc>
      </w:tr>
      <w:tr>
        <w:tc>
          <w:tcPr>
            <w:tcW w:type="dxa" w:w="2160"/>
            <w:shd w:val="clear" w:color="auto" w:fill="E8F2FB"/>
          </w:tcPr>
          <w:p>
            <w:r>
              <w:rPr>
                <w:b/>
                <w:color w:val="1A1A2E"/>
                <w:sz w:val="18"/>
              </w:rPr>
              <w:t>Arm D — Loss frame</w:t>
            </w:r>
          </w:p>
        </w:tc>
        <w:tc>
          <w:tcPr>
            <w:tcW w:type="dxa" w:w="7200"/>
            <w:shd w:val="clear" w:color="auto" w:fill="E8F2FB"/>
          </w:tcPr>
          <w:p>
            <w:r>
              <w:rPr>
                <w:color w:val="1A1A2E"/>
                <w:sz w:val="18"/>
              </w:rPr>
              <w:t>'Your free access to [Feature X] expires in 3 days.'  (Loss aversion — Kahneman &amp; Tversky, 1979)</w:t>
            </w:r>
          </w:p>
        </w:tc>
      </w:tr>
      <w:tr>
        <w:tc>
          <w:tcPr>
            <w:tcW w:type="dxa" w:w="2160"/>
            <w:shd w:val="clear" w:color="auto" w:fill="FFFFFF"/>
          </w:tcPr>
          <w:p>
            <w:r>
              <w:rPr>
                <w:b/>
                <w:color w:val="1A1A2E"/>
                <w:sz w:val="18"/>
              </w:rPr>
              <w:t>Arm E — Fresh Start</w:t>
            </w:r>
          </w:p>
        </w:tc>
        <w:tc>
          <w:tcPr>
            <w:tcW w:type="dxa" w:w="7200"/>
            <w:shd w:val="clear" w:color="auto" w:fill="FFFFFF"/>
          </w:tcPr>
          <w:p>
            <w:r>
              <w:rPr>
                <w:color w:val="1A1A2E"/>
                <w:sz w:val="18"/>
              </w:rPr>
              <w:t>'The new month starts in 3 days — a great time to try premium free.'  (Temporal landmark — Milkman &amp; Dai, 2014)</w:t>
            </w:r>
          </w:p>
        </w:tc>
      </w:tr>
      <w:tr>
        <w:tc>
          <w:tcPr>
            <w:tcW w:type="dxa" w:w="2160"/>
            <w:shd w:val="clear" w:color="auto" w:fill="E8F2FB"/>
          </w:tcPr>
          <w:p>
            <w:r>
              <w:rPr>
                <w:b/>
                <w:color w:val="1A1A2E"/>
                <w:sz w:val="18"/>
              </w:rPr>
              <w:t>Primary outcome</w:t>
            </w:r>
          </w:p>
        </w:tc>
        <w:tc>
          <w:tcPr>
            <w:tcW w:type="dxa" w:w="7200"/>
            <w:shd w:val="clear" w:color="auto" w:fill="E8F2FB"/>
          </w:tcPr>
          <w:p>
            <w:r>
              <w:rPr>
                <w:color w:val="1A1A2E"/>
                <w:sz w:val="18"/>
              </w:rPr>
              <w:t>Free-to-paid conversion within 7 days of email (binary).</w:t>
            </w:r>
          </w:p>
        </w:tc>
      </w:tr>
      <w:tr>
        <w:tc>
          <w:tcPr>
            <w:tcW w:type="dxa" w:w="2160"/>
            <w:shd w:val="clear" w:color="auto" w:fill="FFFFFF"/>
          </w:tcPr>
          <w:p>
            <w:r>
              <w:rPr>
                <w:b/>
                <w:color w:val="1A1A2E"/>
                <w:sz w:val="18"/>
              </w:rPr>
              <w:t>Analysis</w:t>
            </w:r>
          </w:p>
        </w:tc>
        <w:tc>
          <w:tcPr>
            <w:tcW w:type="dxa" w:w="7200"/>
            <w:shd w:val="clear" w:color="auto" w:fill="FFFFFF"/>
          </w:tcPr>
          <w:p>
            <w:r>
              <w:rPr>
                <w:color w:val="1A1A2E"/>
                <w:sz w:val="18"/>
              </w:rPr>
              <w:t>Chi-square omnibus test across arms; pairwise comparisons with Bonferroni correction (α=.05/4=.0125 per arm vs. control).</w:t>
            </w:r>
          </w:p>
        </w:tc>
      </w:tr>
      <w:tr>
        <w:tc>
          <w:tcPr>
            <w:tcW w:type="dxa" w:w="2160"/>
            <w:shd w:val="clear" w:color="auto" w:fill="E8F2FB"/>
          </w:tcPr>
          <w:p>
            <w:r>
              <w:rPr>
                <w:b/>
                <w:color w:val="1A1A2E"/>
                <w:sz w:val="18"/>
              </w:rPr>
              <w:t>Power</w:t>
            </w:r>
          </w:p>
        </w:tc>
        <w:tc>
          <w:tcPr>
            <w:tcW w:type="dxa" w:w="7200"/>
            <w:shd w:val="clear" w:color="auto" w:fill="E8F2FB"/>
          </w:tcPr>
          <w:p>
            <w:r>
              <w:rPr>
                <w:color w:val="1A1A2E"/>
                <w:sz w:val="18"/>
              </w:rPr>
              <w:t>Baseline conversion ~20%. Detecting Δ=10pp with 80% power requires n=176/arm. N=200/arm across 5 arms provides buffer.</w:t>
            </w:r>
          </w:p>
        </w:tc>
      </w:tr>
      <w:tr>
        <w:tc>
          <w:tcPr>
            <w:tcW w:type="dxa" w:w="2160"/>
            <w:shd w:val="clear" w:color="auto" w:fill="FFFFFF"/>
          </w:tcPr>
          <w:p>
            <w:r>
              <w:rPr>
                <w:b/>
                <w:color w:val="1A1A2E"/>
                <w:sz w:val="18"/>
              </w:rPr>
              <w:t>Ethics note</w:t>
            </w:r>
          </w:p>
        </w:tc>
        <w:tc>
          <w:tcPr>
            <w:tcW w:type="dxa" w:w="7200"/>
            <w:shd w:val="clear" w:color="auto" w:fill="FFFFFF"/>
          </w:tcPr>
          <w:p>
            <w:r>
              <w:rPr>
                <w:color w:val="1A1A2E"/>
                <w:sz w:val="18"/>
              </w:rPr>
              <w:t>Loss framing arm requires legal/HR review — language implying penalty must be accurate and pre-approved.</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DESIGN</w:t>
            </w:r>
          </w:p>
        </w:tc>
        <w:tc>
          <w:tcPr>
            <w:tcW w:type="dxa" w:w="4536"/>
            <w:shd w:val="clear" w:color="auto" w:fill="E8F2FB"/>
          </w:tcPr>
          <w:p>
            <w:pPr>
              <w:jc w:val="left"/>
            </w:pPr>
            <w:r>
              <w:rPr>
                <w:color w:val="1A1A2E"/>
                <w:sz w:val="18"/>
              </w:rPr>
              <w:t>The five-arm design maps each treatment to a distinct behavioral mechanism — descriptive norms (Cialdini), planning prompts (Gollwitzer), loss aversion (Kahneman &amp; Tversky), and temporal landmarks (Milkman &amp; Dai). Testing them head-to-head identifies which lever actually drives conversion for this population, not just whether any message helps.</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AEAEC"/>
          </w:tcPr>
          <w:p>
            <w:r>
              <w:rPr>
                <w:b/>
                <w:color w:val="9B2335"/>
                <w:sz w:val="18"/>
              </w:rPr>
              <w:t>LIMITATIONS</w:t>
            </w:r>
          </w:p>
        </w:tc>
        <w:tc>
          <w:tcPr>
            <w:tcW w:type="dxa" w:w="4536"/>
            <w:shd w:val="clear" w:color="auto" w:fill="FAEAEC"/>
          </w:tcPr>
          <w:p>
            <w:pPr>
              <w:jc w:val="left"/>
            </w:pPr>
            <w:r>
              <w:rPr>
                <w:color w:val="1A1A2E"/>
                <w:sz w:val="18"/>
              </w:rPr>
              <w:t>Nudge effects often attenuate over time (habituation). This test measures 7-day conversion — sustained behavior change requires follow-up measurement. Social proof messages require accurate figures; fabricated norms backfire. Fresh Start effects depend on the user perceiving a genuine temporal landmark, which varies by individual.</w:t>
            </w:r>
          </w:p>
        </w:tc>
      </w:tr>
    </w:tbl>
    <w:p>
      <w:pPr>
        <w:spacing w:after="80"/>
      </w:pPr>
    </w:p>
    <w:p>
      <w:pPr>
        <w:spacing w:before="40" w:after="120"/>
        <w:pBdr>
          <w:bottom w:val="single" w:sz="4" w:space="1" w:color="D0D8E4"/>
        </w:pBdr>
      </w:pPr>
    </w:p>
    <w:p>
      <w:pPr>
        <w:spacing w:before="0" w:after="80"/>
      </w:pPr>
      <w:r>
        <w:rPr>
          <w:b w:val="0"/>
          <w:i w:val="0"/>
          <w:color w:val="555555"/>
          <w:sz w:val="18"/>
        </w:rPr>
        <w:t>About this document: Design examples are informed by published research and professional evaluation work at RAND Corporation, including the RAND-EDA AI adoption study, FEMA building code adoption research, and the Gates Foundation behavioral segmentation project. All examples are illustrative. Full experimental design, IRB coordination, power analysis, and statistical analysis available as project services.</w:t>
      </w:r>
    </w:p>
    <w:p>
      <w:pPr>
        <w:spacing w:before="0" w:after="120"/>
        <w:jc w:val="center"/>
      </w:pPr>
      <w:r>
        <w:rPr>
          <w:b w:val="0"/>
          <w:i w:val="0"/>
          <w:color w:val="555555"/>
          <w:sz w:val="16"/>
        </w:rPr>
        <w:t>Jeremy Barajas  |  barajas@alumni.usc.edu  |  RAND Corporation  |  M.B.D.S., University of Pennsylvania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