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GULLY LABS — CULTURE AS CAPITAL</w:t>
      </w:r>
    </w:p>
    <w:p>
      <w:pPr>
        <w:jc w:val="center"/>
      </w:pPr>
      <w:r>
        <w:rPr>
          <w:i/>
          <w:sz w:val="22"/>
        </w:rPr>
        <w:t>A Brand Study &amp; Strategic Analysis · Business Policy and Strategic Management</w:t>
      </w:r>
    </w:p>
    <w:p>
      <w:pPr>
        <w:jc w:val="center"/>
      </w:pPr>
      <w:r>
        <w:rPr>
          <w:sz w:val="20"/>
        </w:rPr>
        <w:t>Team: Aisha · Rohan · Meera · Kabir · September 2026</w:t>
      </w:r>
    </w:p>
    <w:p>
      <w:pPr>
        <w:spacing w:before="200"/>
      </w:pPr>
      <w:r>
        <w:rPr>
          <w:b/>
          <w:color w:val="8C6248"/>
          <w:sz w:val="26"/>
        </w:rPr>
        <w:t>0. Executive summary</w:t>
      </w:r>
    </w:p>
    <w:p>
      <w:pPr>
        <w:spacing w:after="80"/>
      </w:pPr>
      <w:r>
        <w:t>Gully Labs (Delhi NCR, est. August 2023) sells hand-lasted, culturally themed sneakers at ₹3,790–15,000 and is the most expensive Indian sneaker company that is not a volume player: ₹20 lakh (FY24) → ₹2.9 Cr (FY25) → ₹16 Cr projected (FY26), with a ₹1 Cr FY25 loss that is position-buying, not failure. Its strategy is focused differentiation — culture as capital — enforced by backward integration (own Noida factory, ~100 karigars), scarcity mechanics (60-day drops), and community-led promotion. This report applies the course toolkit — PESTEL, value chain, industry-cycle and Porter analysis, 4P/SWOT, directional and portfolio strategy, implementation, balanced scorecard and control — and concludes the strategy is coherent and the environment favourable, while the binding constraints are financial (CM2 ~11%, cash ₹85 lakh) and organisational (craft capacity, controls). Three recommendations follow: treat craft like technology, make exports the margin engine, and protect the premium with formal controls.</w:t>
      </w:r>
    </w:p>
    <w:p>
      <w:pPr>
        <w:spacing w:before="200"/>
      </w:pPr>
      <w:r>
        <w:rPr>
          <w:b/>
          <w:color w:val="8C6248"/>
          <w:sz w:val="26"/>
        </w:rPr>
        <w:t>1. Introduction, scope and method</w:t>
      </w:r>
    </w:p>
    <w:p>
      <w:pPr>
        <w:spacing w:after="80"/>
      </w:pPr>
      <w:r>
        <w:t>The study treats the brand primarily through its most active social channel, X (@GullyLabs, 3,640 followers, posting verified to 19 Sep 2026), triangulated with gullylabs.com and global.gullylabs.com, Financial Express (28 Jan 2026), Inc42 (23 Jan 2026), Indian Retailer, Mint (22 Feb 2026), PIB (Sep 2025) and Tracxn. Where figures are company-disclosed they are labelled as such; where we infer (capital allocation, FY27 scorecard targets) it is marked as proposed. The companion deck (15 slides, four speakers, 11 minutes) follows the same evidence base.</w:t>
      </w:r>
    </w:p>
    <w:p>
      <w:pPr>
        <w:spacing w:before="200"/>
      </w:pPr>
      <w:r>
        <w:rPr>
          <w:b/>
          <w:color w:val="8C6248"/>
          <w:sz w:val="26"/>
        </w:rPr>
        <w:t>2. Brand snapshot and timeline</w:t>
      </w:r>
    </w:p>
    <w:p>
      <w:pPr>
        <w:spacing w:after="80"/>
      </w:pPr>
      <w:r>
        <w:t>Founded August 2023 by Arjun Singh and Animesh Mishra with 50 prepaid orders and a basement shoemaker; December 2023 viral reel (7M views) sells out 250 pairs in two days; April 2024 first 1,000 sq ft unit with six karigars in Noida Sec-10; December 2024 ₹8.7 Cr seed (Zeropearl) funds the own factory (600 pairs/month); September 2025 flagship “Baithak” store, Panchsheel Park, Delhi; January 2026 ₹26.5 Cr Series A (Saama) at ₹147 Cr plus Shark Tank India deal at ₹175 Cr; by September 2026 three cities live (Delhi, Bengaluru, Mumbai next) and ~25% of revenue from exports (US, UK, UAE, SG, AU, CA). Product: four silhouettes (GL 001 Low/High, 003, 004), ~50 SKUs named in an Indian lexicon (Baaz, Kulfi, Kaapi, Calico White bestseller at ₹8,900), signatures in Kantha, Rangoli and Devanagari.</w:t>
      </w:r>
    </w:p>
    <w:p>
      <w:pPr>
        <w:spacing w:before="200"/>
      </w:pPr>
      <w:r>
        <w:rPr>
          <w:b/>
          <w:color w:val="8C6248"/>
          <w:sz w:val="26"/>
        </w:rPr>
        <w:t>3. Environmental scanning — PESTEL</w:t>
      </w:r>
    </w:p>
    <w:p>
      <w:pPr>
        <w:spacing w:after="80"/>
      </w:pPr>
      <w:r>
        <w:t>Political: Make in India; 35% BCD + surcharge + IGST on imported footwear (landed ≈45–60% of CIF) shields the Noida factory; no footwear PLI notified (IFLDP ₹1,700 Cr is the live scheme). Economic: GST rationalisation (Sep 2025) left footwear above ₹2,500 at 18% — 100% of Gully Labs’ range sits in that slab, a ≈₹600–1,200/pair penalty versus mass rivals; category still grows 12–15% p.a. Social: Gen-Z identity buying, resale/hype culture, gully rap and streetwear, diaspora demand — the ~25% export share is design-led, not price-led. Technological: D2C stack, drop mechanics, social commerce, creator economy, AI demand forecasting; the 60-day calendar is a software problem as much as a craft one. Environmental: leather supply chain, tannery effluent norms, air-freight carbon — a narrative not yet defended. Legal: motif/trademark IP hard to protect; BIS/labeling compliance; internal-controls exposure (the Feb 2026 fraud was a controls failure, not a market failure). Net read: four tailwinds, one tax penalty, one governance gap.</w:t>
      </w:r>
    </w:p>
    <w:p>
      <w:pPr>
        <w:spacing w:before="200"/>
      </w:pPr>
      <w:r>
        <w:rPr>
          <w:b/>
          <w:color w:val="8C6248"/>
          <w:sz w:val="26"/>
        </w:rPr>
        <w:t>4. Internal analysis — value chain and unit economics</w:t>
      </w:r>
    </w:p>
    <w:p>
      <w:pPr>
        <w:spacing w:after="80"/>
      </w:pPr>
      <w:r>
        <w:t>Primary activities: design and story (cultural archive, 60-day drop brief) → sourcing (~95% local leather, rubber, thread) → operations (hand-lasted in Noida, ~4 days a pair) → fulfilment (D2C India + global, free exchange) → marketing and retail (reels, collabs, Baithak store). The margin ladder on ₹100 of revenue (founders’ own numbers): 100 → 56 after COGS → 46 after logistics → 11 after marketing. FY25 loss ₹1 Cr on ₹2.9 Cr; Delhi store at breakeven; cash ₹85 lakh. Interpretation: the 56% gross margin proves the premium is accepted; the 35% marketing load proves the brand does not yet pull. Value is created at the two ends — story and community — while the bottleneck is hands, not machines: demand hit 1,000 pairs/month against 600 of capacity, which is why backward integration (₹1.2 Cr from college friends to own the line) was the defining bet.</w:t>
      </w:r>
    </w:p>
    <w:p>
      <w:pPr>
        <w:spacing w:before="200"/>
      </w:pPr>
      <w:r>
        <w:rPr>
          <w:b/>
          <w:color w:val="8C6248"/>
          <w:sz w:val="26"/>
        </w:rPr>
        <w:t>5. Industry, competitive and Porter analysis</w:t>
      </w:r>
    </w:p>
    <w:p>
      <w:pPr>
        <w:spacing w:after="80"/>
      </w:pPr>
      <w:r>
        <w:t>Industry cycle: the Indian premium-sneaker segment is in the growth stage — position-buying with tolerated losses; the coming shakeout will punish players with neither scale nor an uncopyable story. Competitive set: Nike/Adidas/Puma/NB (₹4k–20k+, HIGH threat — they own the aspiration being attacked), Comet ($6.6M raised, HIGH — same buyer at ~10× Gully Labs’ FY25 revenue), CHK/Accel ($3.8M, MEDIUM-HIGH, closest design rival), RapidBox ($9.5M, MEDIUM, a price tier below), Neemans/Solethreads/Zeesh (LOW-MEDIUM, different promise). Five forces: buyer power HIGH (zero switching cost), rivalry HIGH, new entrants MODERATE (cheap to start, years to craft a brand), substitutes MODERATE (resale Jordans, copies, apparel for the same rupee), supplier power MODERATE (leather easy; skilled karigars scarce). With two HIGH forces, the moat cannot be design — it is factory + karigars + community + store.</w:t>
      </w:r>
    </w:p>
    <w:p>
      <w:pPr>
        <w:spacing w:before="200"/>
      </w:pPr>
      <w:r>
        <w:rPr>
          <w:b/>
          <w:color w:val="8C6248"/>
          <w:sz w:val="26"/>
        </w:rPr>
        <w:t>6. Situational analysis — 4P and SWOT</w:t>
      </w:r>
    </w:p>
    <w:p>
      <w:pPr>
        <w:spacing w:after="80"/>
      </w:pPr>
      <w:r>
        <w:t>Product: 4 silhouettes, ~50 SKUs, hand-lasted, scarcity drops and collabs (RAGA, Nivia, CMF). Price: ₹3,790–15,000, value-based (“not price-conscious, value-conscious”), no discount-led growth, global $140–220. Place: D2C-first India + global, Amazon store, own flagship + Bengaluru, curated partners, ~25% exports. Promotion: community before product, creator spikes, Shark Tank as brand event, cause-marketing (15% of three days’ sales to Hemkunt Foundation), X as the drop wire. The four Ps point the same way — that consistency is the strategy. SWOT — S: own factory (quality, flexibility, duty shield), 56% gross margin, unmatched cultural IP, named craft workforce. W: CM2 ~11%, marketing 35% of revenue, cash ₹85 lakh versus a retail build-out, capacity capped by trained hands, 100% of SKUs in the 18% GST slab. O: category +12–15%, premium band expanding, diaspora and a US store in 12–18 months, apparel/accessories lifting AOV, tier-2 aspiration, experiential retail. T: global brands out-spend and out-collab overnight, funded domestic rivals, motifs copyable plus authenticity backlash, valuation far ahead of revenue.</w:t>
      </w:r>
    </w:p>
    <w:p>
      <w:pPr>
        <w:spacing w:before="200"/>
      </w:pPr>
      <w:r>
        <w:rPr>
          <w:b/>
          <w:color w:val="8C6248"/>
          <w:sz w:val="26"/>
        </w:rPr>
        <w:t>7. Strategy formulation — directions, levels, portfolio</w:t>
      </w:r>
    </w:p>
    <w:p>
      <w:pPr>
        <w:spacing w:after="80"/>
      </w:pPr>
      <w:r>
        <w:t>Directional: market penetration NOW (deepen Delhi NCR, repeat buyers, AOV), market development NOW (Bengaluru, Mumbai, tier-2; exports; US store in 12–18 months), product development NOW (002/003/004, apparel, jerseys, slides, collabs), diversification LATER (experience retail; nothing unrelated), retrenchment NEVER (no discounting, no marketplace volume, no contract manufacturing) — “they would rather stay small than cheap.” Levels: corporate = culture-led premium footwear + apparel, vertically integrated, equity-financed; business = focused differentiation in the ₹4–15k niche, never cost leadership; functional = 60-day drops, karigar capacity, community marketing, membership retail. Portfolio: BCG gives one star (GL 001 India D2C), question marks (collabs, exports/diaspora, apparel) and a dog to refuse (discount-led volume); the GE matrix, which scores brand/craft/factory rather than share alone, places India D2C in invest/grow, exports and apparel in selectivity, mass basics in harvest/exit. Used together both tools say: concentrate on the star, cap the question marks, refuse the dog.</w:t>
      </w:r>
    </w:p>
    <w:p>
      <w:pPr>
        <w:spacing w:before="200"/>
      </w:pPr>
      <w:r>
        <w:rPr>
          <w:b/>
          <w:color w:val="8C6248"/>
          <w:sz w:val="26"/>
        </w:rPr>
        <w:t>8. Implementation — challenges, allocation, blue ocean, design thinking</w:t>
      </w:r>
    </w:p>
    <w:p>
      <w:pPr>
        <w:spacing w:after="80"/>
      </w:pPr>
      <w:r>
        <w:t>Where strategies like this die: scaling craft (trained hands, not machines — 1,000 wanted vs 600 made), funding the build (₹85 lakh against three stores and a factory expansion), holding the line (marketplaces and festivals push discounting), governance (founder-trust culture meeting payroll-scale risk), and cross-border ops (6–8 day global delivery, returns, duties on 25% of revenue). Proposed split of the fresh ₹27.5 Cr (inferred from stated uses of proceeds, not a disclosure): production &amp; karigar skilling 34%, brand &amp; content 26%, retail build-out 24%, senior talent &amp; controls 10%, working capital 6% — capacity first, brand second. Blue-ocean reading: eliminate celebrity-athlete deals and discount-led growth; reduce SKU sprawl and marketplace dependence; raise craft depth, storytelling, store experience, export service; create the drop ritual, the karigar celebrity, the Baithak, India-origin sneaker IP. Design thinking is in the name: six months of community posts (empathise) → “India needs its own sneaker” (define) → Baithak sessions (ideate) → 50 pairs at ₹1,000 of a ₹6,000 shoe (prototype) → the 250-pair sellout (test).</w:t>
      </w:r>
    </w:p>
    <w:p>
      <w:pPr>
        <w:spacing w:before="200"/>
      </w:pPr>
      <w:r>
        <w:rPr>
          <w:b/>
          <w:color w:val="8C6248"/>
          <w:sz w:val="26"/>
        </w:rPr>
        <w:t>9. Evaluation and control — scorecard, controls, contingency</w:t>
      </w:r>
    </w:p>
    <w:p>
      <w:pPr>
        <w:spacing w:after="80"/>
      </w:pPr>
      <w:r>
        <w:t>A financial-only scorecard would have told them to shut the factory in 2023; the balanced one justifies investing in brand, craft and community before profit. Disclosed baselines vs proposed FY27 targets: financial — revenue ₹2.9 Cr → ₹16–30 Cr, CM2 ~11% → 18%, marketing/revenue ~35% → 22%, cash ₹85 lakh → 12-month runway; customer — repeat rate n.d. → 25–35%, 7-day sell-through → &gt;80%, export share ~25% → 35%, owned community 3.6k → 100k; internal process — pairs/month ~5,000 → 12,000, days per pair ~4 → 2.5, returns &lt;5%, on-time drops 100%; learning &amp; growth — karigars ~100 → 220, attrition &lt;7%, new silhouettes 4/yr, six senior hires. Control: strategic (are we on the right course; 1–3 yr horizon; founders + board; e.g. Mumbai or margin first) versus operational (is today’s task done right; daily–monthly; function heads; stock counts, discount permissions) — the February 2026 fraud, in which a new customer-service hire used admin access to create 100%-discount codes and shipped ₹2 lakh of sneakers before quitting, was an operational-control failure whose strategic question is whether a trust culture survives 150 employees. Prescription: role-based permissioning (done), segregation of duties and four-eyes on discounts, weekly anomaly reports, surprise stock counts, written incident protocol, an independent audit-minded director. Contingency with triggers: hero-SKU fatigue (two drops &lt;70% sell-through), karigar supply shock (utilisation &gt;90% for a quarter), cash crunch (runway &lt;6 months → pause store #3, not marketing), authenticity attack (sentiment spike → founder-led reply within 24 h).</w:t>
      </w:r>
    </w:p>
    <w:p>
      <w:pPr>
        <w:spacing w:before="200"/>
      </w:pPr>
      <w:r>
        <w:rPr>
          <w:b/>
          <w:color w:val="8C6248"/>
          <w:sz w:val="26"/>
        </w:rPr>
        <w:t>10. Conclusion and recommendations</w:t>
      </w:r>
    </w:p>
    <w:p>
      <w:pPr>
        <w:spacing w:after="80"/>
      </w:pPr>
      <w:r>
        <w:t>Working: a positioning no one else occupies; a 56% gross margin that proves the price is accepted; vertical integration as quality and duty shield; real growth (20 lakh → 2.9 Cr → 16 Cr). Not working: 11% CM2 (marketing buys every order), capacity capped by trained hands, ₹85 lakh against a three-city build-out, governance proven fragile once. Verdict: culture is a real advantage — but only welded to factory, karigars and store; remove one and it is a marketing line a better-funded rival copies in a season. Recommendations: (1) treat craft like technology — a karigar academy with certification, retention-linked pay and a documented pipeline, because capacity is the ceiling and the only lever that does not dilute the hand-made claim; (2) make exports the margin engine — the diaspora pays $140–220 with no 18% slab and lower CAC, target 35% exports and a US pop-up before a permanent store; (3) protect the premium with controls — formal discount authority, an independent audit-minded director, a sell-through-based drop calendar, because scarcity only works if nobody believes a sale is coming. Answer to the exam question — is “unapologetically Indian” a strategy or a marketing line? It is a strategy, conditionally: sustainable only as long as evaluation catches the financial and organisational moment before the market does.</w:t>
      </w:r>
    </w:p>
    <w:p>
      <w:pPr>
        <w:spacing w:before="200"/>
      </w:pPr>
      <w:r>
        <w:rPr>
          <w:b/>
          <w:color w:val="8C6248"/>
          <w:sz w:val="26"/>
        </w:rPr>
        <w:t>Sources</w:t>
      </w:r>
    </w:p>
    <w:p>
      <w:pPr>
        <w:pStyle w:val="ListBullet"/>
        <w:spacing w:after="40"/>
      </w:pPr>
      <w:r>
        <w:t>gullylabs.com and global.gullylabs.com — story, pricing, ranges.</w:t>
      </w:r>
    </w:p>
    <w:p>
      <w:pPr>
        <w:pStyle w:val="ListBullet"/>
        <w:spacing w:after="40"/>
      </w:pPr>
      <w:r>
        <w:t>@GullyLabs on X — 3,640 followers; posting verified to 19 Sep 2026.</w:t>
      </w:r>
    </w:p>
    <w:p>
      <w:pPr>
        <w:pStyle w:val="ListBullet"/>
        <w:spacing w:after="40"/>
      </w:pPr>
      <w:r>
        <w:t>Financial Express, 28 Jan 2026 — FY24/25 financials and unit economics.</w:t>
      </w:r>
    </w:p>
    <w:p>
      <w:pPr>
        <w:pStyle w:val="ListBullet"/>
        <w:spacing w:after="40"/>
      </w:pPr>
      <w:r>
        <w:t>Inc42, 23 Jan 2026 — founding story, capacity, FY26/27 targets.</w:t>
      </w:r>
    </w:p>
    <w:p>
      <w:pPr>
        <w:pStyle w:val="ListBullet"/>
        <w:spacing w:after="40"/>
      </w:pPr>
      <w:r>
        <w:t>Indian Retailer — seed round, Series A, flagship store.</w:t>
      </w:r>
    </w:p>
    <w:p>
      <w:pPr>
        <w:pStyle w:val="ListBullet"/>
        <w:spacing w:after="40"/>
      </w:pPr>
      <w:r>
        <w:t>Mint, 22 Feb 2026 — the ₹2 lakh internal fraud.</w:t>
      </w:r>
    </w:p>
    <w:p>
      <w:pPr>
        <w:pStyle w:val="ListBullet"/>
        <w:spacing w:after="40"/>
      </w:pPr>
      <w:r>
        <w:t>PIB, Sep 2025 — GST rationalisation; Moneycontrol — IFLDP scheme.</w:t>
      </w:r>
    </w:p>
    <w:p>
      <w:pPr>
        <w:pStyle w:val="ListBullet"/>
        <w:spacing w:after="40"/>
      </w:pPr>
      <w:r>
        <w:t>Tracxn and company filings via press — competitor funding (Comet $6.6M, CHK $3.8M, RapidBox $9.5M).</w:t>
      </w:r>
    </w:p>
    <w:p>
      <w:pPr>
        <w:pStyle w:val="ListBullet"/>
        <w:spacing w:after="40"/>
      </w:pPr>
      <w:r>
        <w:t>Architectural Digest India — flagship interior (photograph).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