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0A5E9C" w:sz="18"/>
              <w:right w:val="none" w:color="FFFFFF" w:sz="0"/>
            </w:tcBorders>
            <w:shd w:fill="EAF2F9" w:val="clear"/>
            <w:tcMar>
              <w:top w:type="dxa" w:w="360"/>
              <w:left w:type="dxa" w:w="360"/>
              <w:bottom w:type="dxa" w:w="360"/>
              <w:right w:type="dxa" w:w="360"/>
            </w:tcMar>
          </w:tcPr>
          <w:p>
            <w:pPr>
              <w:spacing w:after="120" w:before="0"/>
            </w:pPr>
            <w:r>
              <w:rPr>
                <w:rFonts w:ascii="Arial" w:cs="Arial" w:eastAsia="Arial" w:hAnsi="Arial"/>
                <w:b/>
                <w:bCs/>
                <w:caps/>
                <w:color w:val="0A5E9C"/>
                <w:sz w:val="24"/>
                <w:szCs w:val="24"/>
              </w:rPr>
              <w:t xml:space="preserve">DOODLE LABS</w:t>
            </w:r>
          </w:p>
          <w:p>
            <w:pPr>
              <w:spacing w:after="80" w:before="0"/>
            </w:pPr>
            <w:r>
              <w:rPr>
                <w:rFonts w:ascii="Arial" w:cs="Arial" w:eastAsia="Arial" w:hAnsi="Arial"/>
                <w:b/>
                <w:bCs/>
                <w:color w:val="083C63"/>
                <w:sz w:val="56"/>
                <w:szCs w:val="56"/>
              </w:rPr>
              <w:t xml:space="preserve">Mesh Rider Fleet NMS</w:t>
            </w:r>
          </w:p>
          <w:p>
            <w:pPr>
              <w:spacing w:after="240" w:before="0"/>
            </w:pPr>
            <w:r>
              <w:rPr>
                <w:rFonts w:ascii="Arial" w:cs="Arial" w:eastAsia="Arial" w:hAnsi="Arial"/>
                <w:color w:val="1A1A1A"/>
                <w:sz w:val="26"/>
                <w:szCs w:val="26"/>
              </w:rPr>
              <w:t xml:space="preserve">Cloud-Native Network Management Platform for the Mesh Rider Radio Ecosystem</w:t>
            </w:r>
          </w:p>
          <w:p>
            <w:pPr>
              <w:spacing w:after="0" w:before="0"/>
            </w:pPr>
            <w:r>
              <w:rPr>
                <w:rFonts w:ascii="Arial" w:cs="Arial" w:eastAsia="Arial" w:hAnsi="Arial"/>
                <w:i/>
                <w:iCs/>
                <w:color w:val="5F6368"/>
                <w:sz w:val="20"/>
                <w:szCs w:val="20"/>
              </w:rPr>
              <w:t xml:space="preserve">Project Proposal · Version 2.0 · April 2026</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aps/>
                <w:color w:val="5F6368"/>
                <w:sz w:val="18"/>
                <w:szCs w:val="18"/>
              </w:rPr>
              <w:t xml:space="preserve">PREPARED BY</w:t>
            </w:r>
          </w:p>
          <w:p>
            <w:pPr>
              <w:spacing w:after="20"/>
            </w:pPr>
            <w:r>
              <w:rPr>
                <w:rFonts w:ascii="Arial" w:cs="Arial" w:eastAsia="Arial" w:hAnsi="Arial"/>
                <w:b/>
                <w:bCs/>
                <w:color w:val="1A1A1A"/>
                <w:sz w:val="24"/>
                <w:szCs w:val="24"/>
              </w:rPr>
              <w:t xml:space="preserve">Jabbir Basha Parlapati</w:t>
            </w:r>
          </w:p>
          <w:p>
            <w:pPr>
              <w:spacing w:after="20"/>
            </w:pPr>
            <w:r>
              <w:rPr>
                <w:rFonts w:ascii="Arial" w:cs="Arial" w:eastAsia="Arial" w:hAnsi="Arial"/>
                <w:color w:val="1A1A1A"/>
                <w:sz w:val="20"/>
                <w:szCs w:val="20"/>
              </w:rPr>
              <w:t xml:space="preserve">Lead — AI &amp; Software Engineering</w:t>
            </w:r>
          </w:p>
          <w:p>
            <w:pPr>
              <w:spacing w:after="0"/>
            </w:pPr>
            <w:r>
              <w:rPr>
                <w:rFonts w:ascii="Arial" w:cs="Arial" w:eastAsia="Arial" w:hAnsi="Arial"/>
                <w:color w:val="5F6368"/>
                <w:sz w:val="20"/>
                <w:szCs w:val="20"/>
              </w:rPr>
              <w:t xml:space="preserve">Doodle Labs (SG) Pte. Ltd.</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b/>
                <w:bCs/>
                <w:caps/>
                <w:color w:val="5F6368"/>
                <w:sz w:val="18"/>
                <w:szCs w:val="18"/>
              </w:rPr>
              <w:t xml:space="preserve">DOCUMENT</w:t>
            </w:r>
          </w:p>
          <w:p>
            <w:pPr>
              <w:spacing w:after="20"/>
            </w:pPr>
            <w:r>
              <w:rPr>
                <w:rFonts w:ascii="Arial" w:cs="Arial" w:eastAsia="Arial" w:hAnsi="Arial"/>
                <w:b/>
                <w:bCs/>
                <w:color w:val="1A1A1A"/>
                <w:sz w:val="24"/>
                <w:szCs w:val="24"/>
              </w:rPr>
              <w:t xml:space="preserve">Project Proposal</w:t>
            </w:r>
          </w:p>
          <w:p>
            <w:pPr>
              <w:spacing w:after="20"/>
            </w:pPr>
            <w:r>
              <w:rPr>
                <w:rFonts w:ascii="Arial" w:cs="Arial" w:eastAsia="Arial" w:hAnsi="Arial"/>
                <w:color w:val="1A1A1A"/>
                <w:sz w:val="20"/>
                <w:szCs w:val="20"/>
              </w:rPr>
              <w:t xml:space="preserve">Classification: Doodle Labs Internal — Confidential</w:t>
            </w:r>
          </w:p>
          <w:p>
            <w:pPr>
              <w:spacing w:after="0"/>
            </w:pPr>
            <w:r>
              <w:rPr>
                <w:rFonts w:ascii="Arial" w:cs="Arial" w:eastAsia="Arial" w:hAnsi="Arial"/>
                <w:color w:val="5F6368"/>
                <w:sz w:val="20"/>
                <w:szCs w:val="20"/>
              </w:rPr>
              <w:t xml:space="preserve">Date: 17 April 2026</w:t>
            </w:r>
          </w:p>
        </w:tc>
      </w:tr>
    </w:tbl>
    <w:p>
      <w:pPr>
        <w:spacing w:after="200" w:before="200"/>
      </w:pPr>
    </w:p>
    <w:p>
      <w:r>
        <w:br w:type="page"/>
      </w:r>
    </w:p>
    <w:p>
      <w:pPr>
        <w:pStyle w:val="Heading1"/>
        <w:spacing w:after="160" w:before="360"/>
      </w:pPr>
      <w:r>
        <w:rPr>
          <w:rFonts w:ascii="Arial" w:cs="Arial" w:eastAsia="Arial" w:hAnsi="Arial"/>
          <w:b/>
          <w:bCs/>
          <w:color w:val="083C63"/>
          <w:sz w:val="32"/>
          <w:szCs w:val="32"/>
        </w:rPr>
        <w:t xml:space="preserve">0. Preface and Honest Reassessment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4708" w:sz="4"/>
              <w:left w:val="single" w:color="B54708" w:sz="18"/>
              <w:bottom w:val="single" w:color="B54708" w:sz="4"/>
              <w:right w:val="single" w:color="B54708" w:sz="4"/>
            </w:tcBorders>
            <w:shd w:fill="FFF4E5" w:val="clear"/>
            <w:tcMar>
              <w:top w:type="dxa" w:w="160"/>
              <w:left w:type="dxa" w:w="220"/>
              <w:bottom w:type="dxa" w:w="160"/>
              <w:right w:type="dxa" w:w="200"/>
            </w:tcMar>
          </w:tcPr>
          <w:p>
            <w:pPr>
              <w:spacing w:after="40" w:before="60"/>
            </w:pPr>
            <w:r>
              <w:rPr>
                <w:rFonts w:ascii="Arial" w:cs="Arial" w:eastAsia="Arial" w:hAnsi="Arial"/>
                <w:b/>
                <w:bCs/>
                <w:caps/>
                <w:color w:val="B54708"/>
                <w:sz w:val="20"/>
                <w:szCs w:val="20"/>
              </w:rPr>
              <w:t xml:space="preserve">Why This Document Supersedes the September 2025 Proposal</w:t>
            </w:r>
          </w:p>
          <w:p>
            <w:pPr>
              <w:spacing w:after="20" w:before="20" w:line="280"/>
            </w:pPr>
            <w:r>
              <w:rPr>
                <w:rFonts w:ascii="Arial" w:cs="Arial" w:eastAsia="Arial" w:hAnsi="Arial"/>
                <w:color w:val="1A1A1A"/>
                <w:sz w:val="20"/>
                <w:szCs w:val="20"/>
              </w:rPr>
              <w:t xml:space="preserve">The September 2025 proposal dated 04 Sep 2025 benchmarked Doodle Labs against Meshmerize Hive, selected a Flutter plus WASM plus ScyllaDB plus NATS plus Rust microservices stack, claimed fifty-times performance gains without a test methodology, and sized the program at 9 full-time engineers over 8 months. On re-examination under April 2026 conditions, several of those positions do not hold. This revision corrects them.</w:t>
            </w:r>
          </w:p>
          <w:p>
            <w:pPr>
              <w:spacing w:after="20" w:before="20" w:line="280"/>
            </w:pPr>
            <w:r>
              <w:rPr>
                <w:rFonts w:ascii="Arial" w:cs="Arial" w:eastAsia="Arial" w:hAnsi="Arial"/>
                <w:color w:val="1A1A1A"/>
                <w:sz w:val="20"/>
                <w:szCs w:val="20"/>
              </w:rPr>
              <w:t xml:space="preserve">This is not a cosmetic update. The competitor set, the technology stack, the scale envelope, the client tier, and the delivery plan have all been rewritten from first principles based on what actually ships today and what we can actually build and defend in a procurement review.</w:t>
            </w:r>
          </w:p>
        </w:tc>
      </w:tr>
    </w:tbl>
    <w:p>
      <w:pPr>
        <w:pStyle w:val="Heading2"/>
        <w:spacing w:after="120" w:before="260"/>
      </w:pPr>
      <w:r>
        <w:rPr>
          <w:rFonts w:ascii="Arial" w:cs="Arial" w:eastAsia="Arial" w:hAnsi="Arial"/>
          <w:b/>
          <w:bCs/>
          <w:color w:val="0A5E9C"/>
          <w:sz w:val="26"/>
          <w:szCs w:val="26"/>
        </w:rPr>
        <w:t xml:space="preserve">0.1 What Changed and Why</w:t>
      </w:r>
    </w:p>
    <w:p>
      <w:pPr>
        <w:spacing w:after="80" w:before="80" w:line="300"/>
      </w:pPr>
      <w:r>
        <w:rPr>
          <w:rFonts w:ascii="Arial" w:cs="Arial" w:eastAsia="Arial" w:hAnsi="Arial"/>
        </w:rPr>
        <w:t xml:space="preserve">The original proposal got several things structurally wrong. Calling them out is not optional; an engineering review at any serious Tier-1 integrator will find them immediately, and the credibility of the program depends on our own willingness to surface them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Sep 2025 Position</w:t>
            </w:r>
          </w:p>
        </w:tc>
        <w:tc>
          <w:tcPr>
            <w:tcW w:type="dxa" w:w="30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Problem</w:t>
            </w:r>
          </w:p>
        </w:tc>
        <w:tc>
          <w:tcPr>
            <w:tcW w:type="dxa" w:w="39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April 2026 Correction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Benchmarked against Meshmerize Hive as the principal threat.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Meshmerize GmbH is an 11-person Dresden startup with a single grant round. The actual commercial benchmark for an NMS in the tactical and industrial mesh-radio space is Silvus Technologies' StreamScape 5 (Motorola Solutions), followed by the embedded UIs in Persistent Systems MPU5 and Rajant BreadCrumb. Meshmerize is a feature comparison, not a market threat.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This proposal is positioned against StreamScape 5 and the in-radio management stacks of Persistent Systems, Rajant, and Silvus, not against Meshmerize.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Flutter unified client for Web, iOS, Android, Desktop from a single codebase.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Flutter Web remains a bandwidth-heavy canvas-rendered target unsuitable for fleet dashboards with tens of thousands of time-series points. Flutter is also the wrong framework for an ATAK plugin, which must be a native Android plugin against the ATAK-CIV SDK (5.5 as of Aug 2025, Jetpack Compose supported).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dashboard in Next.js 16.2 and React 19.2. Android ATAK plugin in native Kotlin and Jetpack Compose against ATAK-CIV SDK. Desktop in Tauri 2 (Rust shell, web UI reuse).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Per-node WASM agent at 2 MB on OpenWrt with eBPF monitoring.</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Mesh Rider Radios run Mesh Rider OS (a customized OpenWrt build). Ath10k-class IPQ40xx and QCN-class SoCs in the field today do not have a production WASM runtime with acceptable memory overhead. eBPF support on these kernels is partial at best.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 do not replace the on-radio stack. We add a hardened Rust-based telemetry and configuration agent as an opkg package on Mesh Rider OS, sitting alongside the existing Mesh Rider control plane.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ScyllaDB plus ClickHouse plus PostgreSQL plus Redis Stack multi-database backend.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Four data stores for a 500-node-per-tenant NMS is gross over-engineering. It multiplies operational surface, replication complexity, and hiring requirements. None of the target workloads justify ScyllaDB.</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Two stores: PostgreSQL 17 for relational and configuration state, QuestDB 9.x for time-series telemetry. Redis 8 for cache and pub/sub. One fewer database than Meshmerize Hive, not three more.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"50,000 nodes, 250,000 metrics/sec, less than 100 ms p99 API" with no test methodology.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Claiming ScyllaDB headline throughput as product SLO is how engineering reviews are lost. The actual target tenant for Doodle Labs' industrial and commercial customers is a single-operator fleet of tens to a few hundred radios, not fifty thousand.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Explicit SLOs per tier, with a defined benchmark harness. Target: 500 radios per tenant, p95 configuration round-trip under 2 seconds over the control plane, telemetry ingest headroom 10x peak steady-state.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Duplicating the existing Doodle Labs Mesh Rider Mobile App.</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Doodle Labs already ships the Mesh Rider Mobile App (Android, Windows, Linux) as a per-radio management tool. Building another single-radio UI is waste.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The NMS is the fleet tier above the existing Mesh Rider Mobile App. Single-radio configuration remains the Mesh Rider App. The new Fleet NMS handles multi-network, multi-tenant, topology, policy, OTA at scale, analytics, and alerting.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Nine-FTE, eight-month, all-features-on-day-one delivery plan.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Flutter plus Rust microservices plus WASM edge plus Edge AI plus GraphQL Federation plus 3D topology plus AR overlay in 8 months is a wishlist, not a plan.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Four-phase plan. Phase 1 is an MVP that beats StreamScape on UX and matches it on feature parity for fleet management. AI and advanced analytics are deferred to Phase 3, after the core platform is stable in customer hands.</w:t>
            </w:r>
          </w:p>
        </w:tc>
      </w:tr>
    </w:tbl>
    <w:p>
      <w:pPr>
        <w:pStyle w:val="Heading2"/>
        <w:spacing w:after="120" w:before="260"/>
      </w:pPr>
      <w:r>
        <w:rPr>
          <w:rFonts w:ascii="Arial" w:cs="Arial" w:eastAsia="Arial" w:hAnsi="Arial"/>
          <w:b/>
          <w:bCs/>
          <w:color w:val="0A5E9C"/>
          <w:sz w:val="26"/>
          <w:szCs w:val="26"/>
        </w:rPr>
        <w:t xml:space="preserve">0.2 What Stays</w:t>
      </w:r>
    </w:p>
    <w:p>
      <w:pPr>
        <w:spacing w:after="80" w:before="80" w:line="300"/>
      </w:pPr>
      <w:r>
        <w:rPr>
          <w:rFonts w:ascii="Arial" w:cs="Arial" w:eastAsia="Arial" w:hAnsi="Arial"/>
        </w:rPr>
        <w:t xml:space="preserve">Four things in the September 2025 document are correct and are carried forward:</w:t>
      </w:r>
    </w:p>
    <w:p>
      <w:pPr>
        <w:pStyle w:val="ListParagraph"/>
        <w:numPr>
          <w:ilvl w:val="0"/>
          <w:numId w:val="2"/>
        </w:numPr>
        <w:spacing w:after="40" w:before="40" w:line="280"/>
      </w:pPr>
      <w:r>
        <w:rPr>
          <w:rFonts w:ascii="Arial" w:cs="Arial" w:eastAsia="Arial" w:hAnsi="Arial"/>
          <w:b/>
          <w:bCs/>
        </w:rPr>
        <w:t xml:space="preserve">The on-radio control plane is OpenWrt-based. </w:t>
      </w:r>
      <w:r>
        <w:rPr>
          <w:rFonts w:ascii="Arial" w:cs="Arial" w:eastAsia="Arial" w:hAnsi="Arial"/>
        </w:rPr>
        <w:t xml:space="preserve">Mesh Rider OS is a customized OpenWrt build; we build on it, not against it.</w:t>
      </w:r>
    </w:p>
    <w:p>
      <w:pPr>
        <w:pStyle w:val="ListParagraph"/>
        <w:numPr>
          <w:ilvl w:val="0"/>
          <w:numId w:val="2"/>
        </w:numPr>
        <w:spacing w:after="40" w:before="40" w:line="280"/>
      </w:pPr>
      <w:r>
        <w:rPr>
          <w:rFonts w:ascii="Arial" w:cs="Arial" w:eastAsia="Arial" w:hAnsi="Arial"/>
          <w:b/>
          <w:bCs/>
        </w:rPr>
        <w:t xml:space="preserve">MQTT is the right control-plane protocol. </w:t>
      </w:r>
      <w:r>
        <w:rPr>
          <w:rFonts w:ascii="Arial" w:cs="Arial" w:eastAsia="Arial" w:hAnsi="Arial"/>
        </w:rPr>
        <w:t xml:space="preserve">It is lightweight, battle-tested, supported natively on OpenWrt, and already the de facto pattern for this class of NMS. We keep MQTT. We do not introduce NATS as an additional dependency.</w:t>
      </w:r>
    </w:p>
    <w:p>
      <w:pPr>
        <w:pStyle w:val="ListParagraph"/>
        <w:numPr>
          <w:ilvl w:val="0"/>
          <w:numId w:val="2"/>
        </w:numPr>
        <w:spacing w:after="40" w:before="40" w:line="280"/>
      </w:pPr>
      <w:r>
        <w:rPr>
          <w:rFonts w:ascii="Arial" w:cs="Arial" w:eastAsia="Arial" w:hAnsi="Arial"/>
          <w:b/>
          <w:bCs/>
        </w:rPr>
        <w:t xml:space="preserve">The product should be multi-tenant and cloud-first with an on-prem variant. </w:t>
      </w:r>
      <w:r>
        <w:rPr>
          <w:rFonts w:ascii="Arial" w:cs="Arial" w:eastAsia="Arial" w:hAnsi="Arial"/>
        </w:rPr>
        <w:t xml:space="preserve">This matches the scope locked by the sponsor for this revision: cloud-first SaaS, multi-tenant, with a single-artifact on-prem deployment option for customers who cannot send telemetry offsite.</w:t>
      </w:r>
    </w:p>
    <w:p>
      <w:pPr>
        <w:pStyle w:val="ListParagraph"/>
        <w:numPr>
          <w:ilvl w:val="0"/>
          <w:numId w:val="2"/>
        </w:numPr>
        <w:spacing w:after="40" w:before="40" w:line="280"/>
      </w:pPr>
      <w:r>
        <w:rPr>
          <w:rFonts w:ascii="Arial" w:cs="Arial" w:eastAsia="Arial" w:hAnsi="Arial"/>
          <w:b/>
          <w:bCs/>
        </w:rPr>
        <w:t xml:space="preserve">TimescaleDB or an equivalent columnar time-series engine beats raw PostgreSQL for telemetry. </w:t>
      </w:r>
      <w:r>
        <w:rPr>
          <w:rFonts w:ascii="Arial" w:cs="Arial" w:eastAsia="Arial" w:hAnsi="Arial"/>
        </w:rPr>
        <w:t xml:space="preserve">The original argument holds. We just pick a better engine for the workload given where the TSDB landscape sits in 2026.</w:t>
      </w:r>
    </w:p>
    <w:p>
      <w:r>
        <w:br w:type="page"/>
      </w:r>
    </w:p>
    <w:p>
      <w:pPr>
        <w:pStyle w:val="Heading1"/>
        <w:spacing w:after="160" w:before="360"/>
      </w:pPr>
      <w:r>
        <w:rPr>
          <w:rFonts w:ascii="Arial" w:cs="Arial" w:eastAsia="Arial" w:hAnsi="Arial"/>
          <w:b/>
          <w:bCs/>
          <w:color w:val="083C63"/>
          <w:sz w:val="32"/>
          <w:szCs w:val="32"/>
        </w:rPr>
        <w:t xml:space="preserve">1. Executive Summary</w:t>
      </w:r>
    </w:p>
    <w:p>
      <w:pPr>
        <w:spacing w:after="80" w:before="80" w:line="300"/>
      </w:pPr>
      <w:r>
        <w:rPr>
          <w:rFonts w:ascii="Arial" w:cs="Arial" w:eastAsia="Arial" w:hAnsi="Arial"/>
        </w:rPr>
        <w:t xml:space="preserve">Doodle Labs is the recognized patent holder and technology leader in mobile mesh radios for drones, robotics, and tactical communications. The Mesh Rider Radio platform and Mesh Rider OS deliver the RF waveform, Sense interference avoidance, and Dynamic Mesh capabilities that our customers buy us for. What the Mesh Rider ecosystem does not yet have, at the fleet tier, is a first-party cloud-native Network Management System that can manage hundreds of radios per tenant across multiple networks, sites, and missions.</w:t>
      </w:r>
    </w:p>
    <w:p>
      <w:pPr>
        <w:spacing w:after="80" w:before="80" w:line="300"/>
      </w:pPr>
      <w:r>
        <w:rPr>
          <w:rFonts w:ascii="Arial" w:cs="Arial" w:eastAsia="Arial" w:hAnsi="Arial"/>
        </w:rPr>
        <w:t xml:space="preserve">The gap is real and commercially visible. </w:t>
      </w:r>
      <w:r>
        <w:rPr>
          <w:rFonts w:ascii="Arial" w:cs="Arial" w:eastAsia="Arial" w:hAnsi="Arial"/>
          <w:b/>
          <w:bCs/>
        </w:rPr>
        <w:t xml:space="preserve">Silvus Technologies</w:t>
      </w:r>
      <w:r>
        <w:rPr>
          <w:rFonts w:ascii="Arial" w:cs="Arial" w:eastAsia="Arial" w:hAnsi="Arial"/>
        </w:rPr>
        <w:t xml:space="preserve"> (now a Motorola Solutions company) ships StreamScape 5 as its embedded NMS across the StreamCaster family, with a free ATAK plugin that extends fleet management to handheld EUDs. </w:t>
      </w:r>
      <w:r>
        <w:rPr>
          <w:rFonts w:ascii="Arial" w:cs="Arial" w:eastAsia="Arial" w:hAnsi="Arial"/>
          <w:b/>
          <w:bCs/>
        </w:rPr>
        <w:t xml:space="preserve">Persistent Systems</w:t>
      </w:r>
      <w:r>
        <w:rPr>
          <w:rFonts w:ascii="Arial" w:cs="Arial" w:eastAsia="Arial" w:hAnsi="Arial"/>
        </w:rPr>
        <w:t xml:space="preserve"> and </w:t>
      </w:r>
      <w:r>
        <w:rPr>
          <w:rFonts w:ascii="Arial" w:cs="Arial" w:eastAsia="Arial" w:hAnsi="Arial"/>
          <w:b/>
          <w:bCs/>
        </w:rPr>
        <w:t xml:space="preserve">Rajant</w:t>
      </w:r>
      <w:r>
        <w:rPr>
          <w:rFonts w:ascii="Arial" w:cs="Arial" w:eastAsia="Arial" w:hAnsi="Arial"/>
        </w:rPr>
        <w:t xml:space="preserve"> both ship in-radio network management UIs and centralized consoles. </w:t>
      </w:r>
      <w:r>
        <w:rPr>
          <w:rFonts w:ascii="Arial" w:cs="Arial" w:eastAsia="Arial" w:hAnsi="Arial"/>
          <w:b/>
          <w:bCs/>
        </w:rPr>
        <w:t xml:space="preserve">Meshmerize</w:t>
      </w:r>
      <w:r>
        <w:rPr>
          <w:rFonts w:ascii="Arial" w:cs="Arial" w:eastAsia="Arial" w:hAnsi="Arial"/>
        </w:rPr>
        <w:t xml:space="preserve"> has a web-based Hive tool but is a small software-only vendor without a radio platform. The existing Doodle Labs Mesh Rider Mobile App is purpose-built for configuring individual radios in the field; it is not a fleet management product and was never intended to be.</w:t>
      </w:r>
    </w:p>
    <w:p>
      <w:pPr>
        <w:spacing w:after="80" w:before="80" w:line="300"/>
      </w:pPr>
      <w:r>
        <w:rPr>
          <w:rFonts w:ascii="Arial" w:cs="Arial" w:eastAsia="Arial" w:hAnsi="Arial"/>
        </w:rPr>
        <w:t xml:space="preserve">This proposal defines Mesh Rider Fleet NMS: a cloud-first, multi-tenant SaaS for managing up to 500 Mesh Rider radios per tenant, with Web, Android ATAK plugin, and desktop clients, built on a strictly 2026-current technology stack, delivered in four phases over 12 months to first GA.</w:t>
      </w:r>
    </w:p>
    <w:p>
      <w:pPr>
        <w:pStyle w:val="Heading2"/>
        <w:spacing w:after="120" w:before="260"/>
      </w:pPr>
      <w:r>
        <w:rPr>
          <w:rFonts w:ascii="Arial" w:cs="Arial" w:eastAsia="Arial" w:hAnsi="Arial"/>
          <w:b/>
          <w:bCs/>
          <w:color w:val="0A5E9C"/>
          <w:sz w:val="26"/>
          <w:szCs w:val="26"/>
        </w:rPr>
        <w:t xml:space="preserve">1.1 Product Positioning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5132" w:sz="4"/>
              <w:left w:val="single" w:color="0F5132" w:sz="18"/>
              <w:bottom w:val="single" w:color="0F5132" w:sz="4"/>
              <w:right w:val="single" w:color="0F5132" w:sz="4"/>
            </w:tcBorders>
            <w:shd w:fill="E7F4EC" w:val="clear"/>
            <w:tcMar>
              <w:top w:type="dxa" w:w="160"/>
              <w:left w:type="dxa" w:w="220"/>
              <w:bottom w:type="dxa" w:w="160"/>
              <w:right w:type="dxa" w:w="200"/>
            </w:tcMar>
          </w:tcPr>
          <w:p>
            <w:pPr>
              <w:spacing w:after="40" w:before="60"/>
            </w:pPr>
            <w:r>
              <w:rPr>
                <w:rFonts w:ascii="Arial" w:cs="Arial" w:eastAsia="Arial" w:hAnsi="Arial"/>
                <w:b/>
                <w:bCs/>
                <w:caps/>
                <w:color w:val="0F5132"/>
                <w:sz w:val="20"/>
                <w:szCs w:val="20"/>
              </w:rPr>
              <w:t xml:space="preserve">Positioning</w:t>
            </w:r>
          </w:p>
          <w:p>
            <w:pPr>
              <w:spacing w:after="20" w:before="20" w:line="280"/>
            </w:pPr>
            <w:r>
              <w:rPr>
                <w:rFonts w:ascii="Arial" w:cs="Arial" w:eastAsia="Arial" w:hAnsi="Arial"/>
                <w:color w:val="1A1A1A"/>
                <w:sz w:val="20"/>
                <w:szCs w:val="20"/>
              </w:rPr>
              <w:t xml:space="preserve">Mesh Rider Fleet NMS is the multi-network control plane for the Mesh Rider ecosystem: the tier above per-radio configuration that gives system integrators, industrial operators, and government customers a live picture of every radio they own, across every site they run, with the policy, OTA, and analytics controls they expect from an enterprise NMS — and nothing they do not.</w:t>
            </w:r>
          </w:p>
          <w:p>
            <w:pPr>
              <w:spacing w:after="20" w:before="20" w:line="280"/>
            </w:pPr>
            <w:r>
              <w:rPr>
                <w:rFonts w:ascii="Arial" w:cs="Arial" w:eastAsia="Arial" w:hAnsi="Arial"/>
                <w:color w:val="1A1A1A"/>
                <w:sz w:val="20"/>
                <w:szCs w:val="20"/>
              </w:rPr>
              <w:t xml:space="preserve">It is not a replacement for Mesh Rider OS. It is not a replacement for the Mesh Rider Mobile App. It is the fleet tier that both of those products have always needed.</w:t>
            </w:r>
          </w:p>
        </w:tc>
      </w:tr>
    </w:tbl>
    <w:p>
      <w:pPr>
        <w:pStyle w:val="Heading2"/>
        <w:spacing w:after="120" w:before="260"/>
      </w:pPr>
      <w:r>
        <w:rPr>
          <w:rFonts w:ascii="Arial" w:cs="Arial" w:eastAsia="Arial" w:hAnsi="Arial"/>
          <w:b/>
          <w:bCs/>
          <w:color w:val="0A5E9C"/>
          <w:sz w:val="26"/>
          <w:szCs w:val="26"/>
        </w:rPr>
        <w:t xml:space="preserve">1.2 Guiding Principles</w:t>
      </w:r>
    </w:p>
    <w:p>
      <w:pPr>
        <w:pStyle w:val="ListParagraph"/>
        <w:numPr>
          <w:ilvl w:val="0"/>
          <w:numId w:val="3"/>
        </w:numPr>
        <w:spacing w:after="60" w:before="60" w:line="280"/>
      </w:pPr>
      <w:r>
        <w:rPr>
          <w:rFonts w:ascii="Arial" w:cs="Arial" w:eastAsia="Arial" w:hAnsi="Arial"/>
          <w:b/>
          <w:bCs/>
        </w:rPr>
        <w:t xml:space="preserve">Cloud-first, airgap-capable from day one. </w:t>
      </w:r>
      <w:r>
        <w:rPr>
          <w:rFonts w:ascii="Arial" w:cs="Arial" w:eastAsia="Arial" w:hAnsi="Arial"/>
        </w:rPr>
        <w:t xml:space="preserve">The default deployment is multi-tenant SaaS. The same single artifact runs on-prem in an airgapped rack for customers who require it.</w:t>
      </w:r>
    </w:p>
    <w:p>
      <w:pPr>
        <w:pStyle w:val="ListParagraph"/>
        <w:numPr>
          <w:ilvl w:val="0"/>
          <w:numId w:val="3"/>
        </w:numPr>
        <w:spacing w:after="60" w:before="60" w:line="280"/>
      </w:pPr>
      <w:r>
        <w:rPr>
          <w:rFonts w:ascii="Arial" w:cs="Arial" w:eastAsia="Arial" w:hAnsi="Arial"/>
          <w:b/>
          <w:bCs/>
        </w:rPr>
        <w:t xml:space="preserve">Mesh Rider OS is canonical. </w:t>
      </w:r>
      <w:r>
        <w:rPr>
          <w:rFonts w:ascii="Arial" w:cs="Arial" w:eastAsia="Arial" w:hAnsi="Arial"/>
        </w:rPr>
        <w:t xml:space="preserve">The NMS reads and writes via the existing UCI and Mesh Rider API. We do not fork Mesh Rider OS. We do not replace LuCI. We ship an opkg agent that exposes the same primitives cleanly.</w:t>
      </w:r>
    </w:p>
    <w:p>
      <w:pPr>
        <w:pStyle w:val="ListParagraph"/>
        <w:numPr>
          <w:ilvl w:val="0"/>
          <w:numId w:val="3"/>
        </w:numPr>
        <w:spacing w:after="60" w:before="60" w:line="280"/>
      </w:pPr>
      <w:r>
        <w:rPr>
          <w:rFonts w:ascii="Arial" w:cs="Arial" w:eastAsia="Arial" w:hAnsi="Arial"/>
          <w:b/>
          <w:bCs/>
        </w:rPr>
        <w:t xml:space="preserve">Two databases, not four. </w:t>
      </w:r>
      <w:r>
        <w:rPr>
          <w:rFonts w:ascii="Arial" w:cs="Arial" w:eastAsia="Arial" w:hAnsi="Arial"/>
        </w:rPr>
        <w:t xml:space="preserve">PostgreSQL for config and relational state, QuestDB for telemetry. Redis for cache. Every additional datastore costs a headcount to run.</w:t>
      </w:r>
    </w:p>
    <w:p>
      <w:pPr>
        <w:pStyle w:val="ListParagraph"/>
        <w:numPr>
          <w:ilvl w:val="0"/>
          <w:numId w:val="3"/>
        </w:numPr>
        <w:spacing w:after="60" w:before="60" w:line="280"/>
      </w:pPr>
      <w:r>
        <w:rPr>
          <w:rFonts w:ascii="Arial" w:cs="Arial" w:eastAsia="Arial" w:hAnsi="Arial"/>
          <w:b/>
          <w:bCs/>
        </w:rPr>
        <w:t xml:space="preserve">Benchmarks with methodology or no benchmarks. </w:t>
      </w:r>
      <w:r>
        <w:rPr>
          <w:rFonts w:ascii="Arial" w:cs="Arial" w:eastAsia="Arial" w:hAnsi="Arial"/>
        </w:rPr>
        <w:t xml:space="preserve">Every performance number in this document either cites a source, is tied to a named workload, or is declared an SLO target to be measured.</w:t>
      </w:r>
    </w:p>
    <w:p>
      <w:pPr>
        <w:pStyle w:val="ListParagraph"/>
        <w:numPr>
          <w:ilvl w:val="0"/>
          <w:numId w:val="3"/>
        </w:numPr>
        <w:spacing w:after="60" w:before="60" w:line="280"/>
      </w:pPr>
      <w:r>
        <w:rPr>
          <w:rFonts w:ascii="Arial" w:cs="Arial" w:eastAsia="Arial" w:hAnsi="Arial"/>
          <w:b/>
          <w:bCs/>
        </w:rPr>
        <w:t xml:space="preserve">Ruthless phasing. </w:t>
      </w:r>
      <w:r>
        <w:rPr>
          <w:rFonts w:ascii="Arial" w:cs="Arial" w:eastAsia="Arial" w:hAnsi="Arial"/>
        </w:rPr>
        <w:t xml:space="preserve">MVP in Phase 1 beats StreamScape on UX and matches fleet parity. AI and advanced analytics are Phase 3 — after the platform earns the right to ship them.</w:t>
      </w:r>
    </w:p>
    <w:p>
      <w:r>
        <w:br w:type="page"/>
      </w:r>
    </w:p>
    <w:p>
      <w:pPr>
        <w:pStyle w:val="Heading1"/>
        <w:spacing w:after="160" w:before="360"/>
      </w:pPr>
      <w:r>
        <w:rPr>
          <w:rFonts w:ascii="Arial" w:cs="Arial" w:eastAsia="Arial" w:hAnsi="Arial"/>
          <w:b/>
          <w:bCs/>
          <w:color w:val="083C63"/>
          <w:sz w:val="32"/>
          <w:szCs w:val="32"/>
        </w:rPr>
        <w:t xml:space="preserve">2. Competitive Landscape — Honest Assessment</w:t>
      </w:r>
    </w:p>
    <w:p>
      <w:pPr>
        <w:pStyle w:val="Heading2"/>
        <w:spacing w:after="120" w:before="260"/>
      </w:pPr>
      <w:r>
        <w:rPr>
          <w:rFonts w:ascii="Arial" w:cs="Arial" w:eastAsia="Arial" w:hAnsi="Arial"/>
          <w:b/>
          <w:bCs/>
          <w:color w:val="0A5E9C"/>
          <w:sz w:val="26"/>
          <w:szCs w:val="26"/>
        </w:rPr>
        <w:t xml:space="preserve">2.1 The Real Benchmarks</w:t>
      </w:r>
    </w:p>
    <w:p>
      <w:pPr>
        <w:spacing w:after="80" w:before="80" w:line="300"/>
      </w:pPr>
      <w:r>
        <w:rPr>
          <w:rFonts w:ascii="Arial" w:cs="Arial" w:eastAsia="Arial" w:hAnsi="Arial"/>
        </w:rPr>
        <w:t xml:space="preserve">The September 2025 document benchmarked us against Meshmerize. That is the wrong comparison. The operator buying Doodle Labs radios is almost always evaluating one of the systems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Vendor</w:t>
            </w:r>
          </w:p>
        </w:tc>
        <w:tc>
          <w:tcPr>
            <w:tcW w:type="dxa" w:w="18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NMS Product</w:t>
            </w:r>
          </w:p>
        </w:tc>
        <w:tc>
          <w:tcPr>
            <w:tcW w:type="dxa" w:w="27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What They Do Well</w:t>
            </w:r>
          </w:p>
        </w:tc>
        <w:tc>
          <w:tcPr>
            <w:tcW w:type="dxa" w:w="30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Where We Can Win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Silvus Technologies (Motorola Solutions)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StreamScape 5 + StreamScape ATAK Plugin</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Embedded directly in every radio. FIPS 140-3 Level 2. Free ATAK plugin supporting ATAK 4.10–5.5 with topology overlay, PTT/talk-group, SNR and interference telemetry, login auth added Mar 2026. Motorola enterprise sales muscle. Operationally proven on 550+ node MN-MIMO networks.</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StreamScape is embedded, per-radio, and assumes a single operator context. It is not a multi-tenant fleet SaaS. It does not give a systems integrator a unified view of multiple customer deployments. It does not have modern analytics or policy-as-code. We win at the tenant and fleet tier, not at the radio tier.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Persistent Systems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Wave Relay MPU5 web UI + Cloud Relay</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Tight waveform/NMS integration. Widely deployed in US DoD. Strong SWaP credentials on MPU5.</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Cloud Relay is narrow in scope. UX is dated. Third-party integration surface is limited. Our modern SaaS UX, open API, and multi-tenant story are directly differentiated.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Rajant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BC|Commander</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Mature Kinetic Mesh ecosystem. Strong in mining and industrial. On-prem-first.</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Windows-heavy, installer-driven, no native mobile. Our browser-first and ATAK-first clients are a clear generational gap.</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Meshmerize GmbH</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Hive (the subject of the Sep 2025 doc)</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Reasonable feature list on paper. Django + Vue + MQTT + PostgreSQL/TimescaleDB architecture.</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11 employees, one grant round, software-only, no radio platform, no defense footprint. A feature comparison, not a market threat.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goTenna Pro</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goTenna Pro X / ATAK integration</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ATAK-first. Good at low-bandwidth off-grid messaging.</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Different segment (sub-Mbps messaging radios, not MANET broadband). Not a direct overlap — adjacent.</w:t>
            </w:r>
          </w:p>
        </w:tc>
      </w:tr>
    </w:tbl>
    <w:p>
      <w:pPr>
        <w:pStyle w:val="Heading2"/>
        <w:spacing w:after="120" w:before="260"/>
      </w:pPr>
      <w:r>
        <w:rPr>
          <w:rFonts w:ascii="Arial" w:cs="Arial" w:eastAsia="Arial" w:hAnsi="Arial"/>
          <w:b/>
          <w:bCs/>
          <w:color w:val="0A5E9C"/>
          <w:sz w:val="26"/>
          <w:szCs w:val="26"/>
        </w:rPr>
        <w:t xml:space="preserve">2.2 Doodle Labs' Current Management Stack — Honestly</w:t>
      </w:r>
    </w:p>
    <w:p>
      <w:pPr>
        <w:spacing w:after="80" w:before="80" w:line="300"/>
      </w:pPr>
      <w:r>
        <w:rPr>
          <w:rFonts w:ascii="Arial" w:cs="Arial" w:eastAsia="Arial" w:hAnsi="Arial"/>
        </w:rPr>
        <w:t xml:space="preserve">Today, a Doodle Labs customer managing a fleet has three tools available to them:</w:t>
      </w:r>
    </w:p>
    <w:p>
      <w:pPr>
        <w:pStyle w:val="ListParagraph"/>
        <w:numPr>
          <w:ilvl w:val="0"/>
          <w:numId w:val="2"/>
        </w:numPr>
        <w:spacing w:after="40" w:before="40" w:line="280"/>
      </w:pPr>
      <w:r>
        <w:rPr>
          <w:rFonts w:ascii="Arial" w:cs="Arial" w:eastAsia="Arial" w:hAnsi="Arial"/>
          <w:b/>
          <w:bCs/>
        </w:rPr>
        <w:t xml:space="preserve">LuCI web UI per radio. </w:t>
      </w:r>
      <w:r>
        <w:rPr>
          <w:rFonts w:ascii="Arial" w:cs="Arial" w:eastAsia="Arial" w:hAnsi="Arial"/>
        </w:rPr>
        <w:t xml:space="preserve">Functional, standard OpenWrt. Not designed for fleet use.</w:t>
      </w:r>
    </w:p>
    <w:p>
      <w:pPr>
        <w:pStyle w:val="ListParagraph"/>
        <w:numPr>
          <w:ilvl w:val="0"/>
          <w:numId w:val="2"/>
        </w:numPr>
        <w:spacing w:after="40" w:before="40" w:line="280"/>
      </w:pPr>
      <w:r>
        <w:rPr>
          <w:rFonts w:ascii="Arial" w:cs="Arial" w:eastAsia="Arial" w:hAnsi="Arial"/>
          <w:b/>
          <w:bCs/>
        </w:rPr>
        <w:t xml:space="preserve">Mesh Rider Mobile App (Android, Windows, Linux). </w:t>
      </w:r>
      <w:r>
        <w:rPr>
          <w:rFonts w:ascii="Arial" w:cs="Arial" w:eastAsia="Arial" w:hAnsi="Arial"/>
        </w:rPr>
        <w:t xml:space="preserve">Announced Jan 2025. Excellent per-radio field tool. Dashboard, signal, GPS, logs, reboots, Sense config. Single-radio scope by design.</w:t>
      </w:r>
    </w:p>
    <w:p>
      <w:pPr>
        <w:pStyle w:val="ListParagraph"/>
        <w:numPr>
          <w:ilvl w:val="0"/>
          <w:numId w:val="2"/>
        </w:numPr>
        <w:spacing w:after="40" w:before="40" w:line="280"/>
      </w:pPr>
      <w:r>
        <w:rPr>
          <w:rFonts w:ascii="Arial" w:cs="Arial" w:eastAsia="Arial" w:hAnsi="Arial"/>
          <w:b/>
          <w:bCs/>
        </w:rPr>
        <w:t xml:space="preserve">Mesh Rider API and SSH/UCI. </w:t>
      </w:r>
      <w:r>
        <w:rPr>
          <w:rFonts w:ascii="Arial" w:cs="Arial" w:eastAsia="Arial" w:hAnsi="Arial"/>
        </w:rPr>
        <w:t xml:space="preserve">Integrators with strong in-house software teams build their own UIs. Not every customer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4708" w:sz="4"/>
              <w:left w:val="single" w:color="B54708" w:sz="18"/>
              <w:bottom w:val="single" w:color="B54708" w:sz="4"/>
              <w:right w:val="single" w:color="B54708" w:sz="4"/>
            </w:tcBorders>
            <w:shd w:fill="FFF4E5" w:val="clear"/>
            <w:tcMar>
              <w:top w:type="dxa" w:w="160"/>
              <w:left w:type="dxa" w:w="220"/>
              <w:bottom w:type="dxa" w:w="160"/>
              <w:right w:type="dxa" w:w="200"/>
            </w:tcMar>
          </w:tcPr>
          <w:p>
            <w:pPr>
              <w:spacing w:after="40" w:before="60"/>
            </w:pPr>
            <w:r>
              <w:rPr>
                <w:rFonts w:ascii="Arial" w:cs="Arial" w:eastAsia="Arial" w:hAnsi="Arial"/>
                <w:b/>
                <w:bCs/>
                <w:caps/>
                <w:color w:val="B54708"/>
                <w:sz w:val="20"/>
                <w:szCs w:val="20"/>
              </w:rPr>
              <w:t xml:space="preserve">The Honest Gap</w:t>
            </w:r>
          </w:p>
          <w:p>
            <w:pPr>
              <w:spacing w:after="20" w:before="20" w:line="280"/>
            </w:pPr>
            <w:r>
              <w:rPr>
                <w:rFonts w:ascii="Arial" w:cs="Arial" w:eastAsia="Arial" w:hAnsi="Arial"/>
                <w:color w:val="1A1A1A"/>
                <w:sz w:val="20"/>
                <w:szCs w:val="20"/>
              </w:rPr>
              <w:t xml:space="preserve">There is no first-party answer for "I run 50 radios across three sites for a government customer and I want a single login that shows me what's online, what needs firmware, who touched what when, and which links are degrading."</w:t>
            </w:r>
          </w:p>
          <w:p>
            <w:pPr>
              <w:spacing w:after="20" w:before="20" w:line="280"/>
            </w:pPr>
            <w:r>
              <w:rPr>
                <w:rFonts w:ascii="Arial" w:cs="Arial" w:eastAsia="Arial" w:hAnsi="Arial"/>
                <w:color w:val="1A1A1A"/>
                <w:sz w:val="20"/>
                <w:szCs w:val="20"/>
              </w:rPr>
              <w:t xml:space="preserve">Customers who need that answer today either: (a) roll their own on top of the Mesh Rider API, (b) accept the operational burden of LuCI-per-radio, or (c) get shown StreamScape by Silvus. We need to close that door before the Motorola Solutions acquisition-driven expansion of Silvus into adjacent commercial verticals closes it for us.</w:t>
            </w:r>
          </w:p>
        </w:tc>
      </w:tr>
    </w:tbl>
    <w:p>
      <w:r>
        <w:br w:type="page"/>
      </w:r>
    </w:p>
    <w:p>
      <w:pPr>
        <w:pStyle w:val="Heading1"/>
        <w:spacing w:after="160" w:before="360"/>
      </w:pPr>
      <w:r>
        <w:rPr>
          <w:rFonts w:ascii="Arial" w:cs="Arial" w:eastAsia="Arial" w:hAnsi="Arial"/>
          <w:b/>
          <w:bCs/>
          <w:color w:val="083C63"/>
          <w:sz w:val="32"/>
          <w:szCs w:val="32"/>
        </w:rPr>
        <w:t xml:space="preserve">3. Solution Architecture</w:t>
      </w:r>
    </w:p>
    <w:p>
      <w:pPr>
        <w:pStyle w:val="Heading2"/>
        <w:spacing w:after="120" w:before="260"/>
      </w:pPr>
      <w:r>
        <w:rPr>
          <w:rFonts w:ascii="Arial" w:cs="Arial" w:eastAsia="Arial" w:hAnsi="Arial"/>
          <w:b/>
          <w:bCs/>
          <w:color w:val="0A5E9C"/>
          <w:sz w:val="26"/>
          <w:szCs w:val="26"/>
        </w:rPr>
        <w:t xml:space="preserve">3.1 System Tiers</w:t>
      </w:r>
    </w:p>
    <w:p>
      <w:pPr>
        <w:spacing w:after="80" w:before="80" w:line="300"/>
      </w:pPr>
      <w:r>
        <w:rPr>
          <w:rFonts w:ascii="Arial" w:cs="Arial" w:eastAsia="Arial" w:hAnsi="Arial"/>
        </w:rPr>
        <w:t xml:space="preserve">The NMS is a four-tier system. Each tier is a boundary of ownership, deployment, and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460"/>
      </w:tblGrid>
      <w:tr>
        <w:tc>
          <w:tcPr>
            <w:tcW w:type="dxa" w:w="16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Tier</w:t>
            </w:r>
          </w:p>
        </w:tc>
        <w:tc>
          <w:tcPr>
            <w:tcW w:type="dxa" w:w="33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Role</w:t>
            </w:r>
          </w:p>
        </w:tc>
        <w:tc>
          <w:tcPr>
            <w:tcW w:type="dxa" w:w="44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Deployment Unit</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Tier 1 — Radio</w:t>
            </w:r>
          </w:p>
        </w:tc>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Mesh Rider OS (OpenWrt-based) plus the Fleet Agent — a Rust-built opkg package that exposes telemetry, configuration, OTA, and policy enforcement via MQTT over TLS to the Fleet Gateway. Does not replace Mesh Rider control plane; sits alongside it.</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Signed opkg package installed on Mesh Rider Radio firmware. Memory budget: ≤ 8 MB RSS. Flash: ≤ 2.5 MB.</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Tier 2 — Gateway / Control Plane</w:t>
            </w:r>
          </w:p>
        </w:tc>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MQTT broker (EMQX 5.x cluster), auth bridge, device registry, policy engine, OTA orchestrator, WebSocket fan-out. This is the hot path: every heartbeat, every command, every OTA transaction transits here.</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Kubernetes namespace. Horizontally scaled. Multi-AZ. TLS-terminating at broker and WebSocket.</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Tier 3 — Application Services</w:t>
            </w:r>
          </w:p>
        </w:tc>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Fleet API (FastAPI / Python 3.12), tenant service, RBAC and audit service, telemetry ingest workers, topology service, OTA service, analytics service, notification service. All services are stateless and deployed independently.</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Kubernetes Deployments. Horizontal Pod Autoscaler on CPU and per-service custom metrics.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Tier 4 — Data</w:t>
            </w:r>
          </w:p>
        </w:tc>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PostgreSQL 17 (relational + config + audit), QuestDB 9.x (time-series telemetry), Redis 8 (cache, pub/sub, rate limiting), object store (S3 / MinIO) for firmware artifacts, config backups, and exports.</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Managed services on the cloud path (RDS, ElastiCache, S3). Containerized on the on-prem path (Patroni, Sentinel, MinIO).</w:t>
            </w:r>
          </w:p>
        </w:tc>
      </w:tr>
    </w:tbl>
    <w:p>
      <w:pPr>
        <w:pStyle w:val="Heading2"/>
        <w:spacing w:after="120" w:before="260"/>
      </w:pPr>
      <w:r>
        <w:rPr>
          <w:rFonts w:ascii="Arial" w:cs="Arial" w:eastAsia="Arial" w:hAnsi="Arial"/>
          <w:b/>
          <w:bCs/>
          <w:color w:val="0A5E9C"/>
          <w:sz w:val="26"/>
          <w:szCs w:val="26"/>
        </w:rPr>
        <w:t xml:space="preserve">3.2 Logical Architecture</w:t>
      </w:r>
    </w:p>
    <w:p>
      <w:pPr>
        <w:spacing w:after="80" w:before="80" w:line="300"/>
      </w:pPr>
      <w:r>
        <w:rPr>
          <w:rFonts w:ascii="Arial" w:cs="Arial" w:eastAsia="Arial" w:hAnsi="Arial"/>
        </w:rPr>
        <w:t xml:space="preserve">The diagram below is expressed in ASCII because that is what survives a Word-to-PDF-to-print workflow without re-layout. Figure 1 of the Sep 2025 document used the same convention.</w:t>
      </w:r>
    </w:p>
    <w:p>
      <w:pPr>
        <w:spacing w:after="120" w:before="80"/>
      </w:pPr>
      <w:r>
        <w:rPr>
          <w:rFonts w:ascii="Courier New" w:cs="Courier New" w:eastAsia="Courier New" w:hAnsi="Courier New"/>
          <w:sz w:val="14"/>
          <w:szCs w:val="14"/>
        </w:rPr>
        <w:t xml:space="preserve">┌─────────────────────────────────────────────────────────────────────────────┐
</w:t>
      </w:r>
      <w:r>
        <w:rPr>
          <w:rFonts w:ascii="Courier New" w:cs="Courier New" w:eastAsia="Courier New" w:hAnsi="Courier New"/>
          <w:sz w:val="14"/>
          <w:szCs w:val="14"/>
        </w:rPr>
        <w:t xml:space="preserve">│                    MESH RIDER FLEET NMS — LOGICAL ARCHITECTURE               │
</w:t>
      </w:r>
      <w:r>
        <w:rPr>
          <w:rFonts w:ascii="Courier New" w:cs="Courier New" w:eastAsia="Courier New" w:hAnsi="Courier New"/>
          <w:sz w:val="14"/>
          <w:szCs w:val="14"/>
        </w:rPr>
        <w:t xml:space="preserve">├─────────────────────────────────────────────────────────────────────────────┤
</w:t>
      </w:r>
      <w:r>
        <w:rPr>
          <w:rFonts w:ascii="Courier New" w:cs="Courier New" w:eastAsia="Courier New" w:hAnsi="Courier New"/>
          <w:sz w:val="14"/>
          <w:szCs w:val="14"/>
        </w:rPr>
        <w:t xml:space="preserve">│                                                                              │
</w:t>
      </w:r>
      <w:r>
        <w:rPr>
          <w:rFonts w:ascii="Courier New" w:cs="Courier New" w:eastAsia="Courier New" w:hAnsi="Courier New"/>
          <w:sz w:val="14"/>
          <w:szCs w:val="14"/>
        </w:rPr>
        <w:t xml:space="preserve">│  CLIENT TIER                                                                 │
</w:t>
      </w:r>
      <w:r>
        <w:rPr>
          <w:rFonts w:ascii="Courier New" w:cs="Courier New" w:eastAsia="Courier New" w:hAnsi="Courier New"/>
          <w:sz w:val="14"/>
          <w:szCs w:val="14"/>
        </w:rPr>
        <w:t xml:space="preserve">│  ┌──────────────────┐  ┌──────────────────┐  ┌──────────────────────────┐   │
</w:t>
      </w:r>
      <w:r>
        <w:rPr>
          <w:rFonts w:ascii="Courier New" w:cs="Courier New" w:eastAsia="Courier New" w:hAnsi="Courier New"/>
          <w:sz w:val="14"/>
          <w:szCs w:val="14"/>
        </w:rPr>
        <w:t xml:space="preserve">│  │   Web Dashboard  │  │  ATAK Plugin     │  │  Desktop (Tauri 2)       │   │
</w:t>
      </w:r>
      <w:r>
        <w:rPr>
          <w:rFonts w:ascii="Courier New" w:cs="Courier New" w:eastAsia="Courier New" w:hAnsi="Courier New"/>
          <w:sz w:val="14"/>
          <w:szCs w:val="14"/>
        </w:rPr>
        <w:t xml:space="preserve">│  │  Next.js 16.2    │  │  Kotlin + JC +   │  │  Rust shell + shared     │   │
</w:t>
      </w:r>
      <w:r>
        <w:rPr>
          <w:rFonts w:ascii="Courier New" w:cs="Courier New" w:eastAsia="Courier New" w:hAnsi="Courier New"/>
          <w:sz w:val="14"/>
          <w:szCs w:val="14"/>
        </w:rPr>
        <w:t xml:space="preserve">│  │  React 19.2      │  │  ATAK-CIV SDK 5.5│  │  Next.js web bundle      │   │
</w:t>
      </w:r>
      <w:r>
        <w:rPr>
          <w:rFonts w:ascii="Courier New" w:cs="Courier New" w:eastAsia="Courier New" w:hAnsi="Courier New"/>
          <w:sz w:val="14"/>
          <w:szCs w:val="14"/>
        </w:rPr>
        <w:t xml:space="preserve">│  │  MapLibre GL JS 5│  │  MapLibre Android│  │  Windows / Linux         │   │
</w:t>
      </w:r>
      <w:r>
        <w:rPr>
          <w:rFonts w:ascii="Courier New" w:cs="Courier New" w:eastAsia="Courier New" w:hAnsi="Courier New"/>
          <w:sz w:val="14"/>
          <w:szCs w:val="14"/>
        </w:rPr>
        <w:t xml:space="preserve">│  └─────────┬────────┘  └────────┬─────────┘  └───────────┬──────────────┘   │
</w:t>
      </w:r>
      <w:r>
        <w:rPr>
          <w:rFonts w:ascii="Courier New" w:cs="Courier New" w:eastAsia="Courier New" w:hAnsi="Courier New"/>
          <w:sz w:val="14"/>
          <w:szCs w:val="14"/>
        </w:rPr>
        <w:t xml:space="preserve">│            │                    │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HTTPS / WSS (TLS 1.3)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Edge / CDN / WAF     │  Cloudflare or AWS CloudFront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APPLICATION TIER (Kubernetes)                                                │
</w:t>
      </w:r>
      <w:r>
        <w:rPr>
          <w:rFonts w:ascii="Courier New" w:cs="Courier New" w:eastAsia="Courier New" w:hAnsi="Courier New"/>
          <w:sz w:val="14"/>
          <w:szCs w:val="14"/>
        </w:rPr>
        <w:t xml:space="preserve">│  ┌──────────────┐ ┌────────────┐ ┌──────────────┐ ┌────────────────────┐    │
</w:t>
      </w:r>
      <w:r>
        <w:rPr>
          <w:rFonts w:ascii="Courier New" w:cs="Courier New" w:eastAsia="Courier New" w:hAnsi="Courier New"/>
          <w:sz w:val="14"/>
          <w:szCs w:val="14"/>
        </w:rPr>
        <w:t xml:space="preserve">│  │  Fleet API   │ │  Tenant &amp;  │ │ Topology &amp;   │ │  OTA Orchestrator  │    │
</w:t>
      </w:r>
      <w:r>
        <w:rPr>
          <w:rFonts w:ascii="Courier New" w:cs="Courier New" w:eastAsia="Courier New" w:hAnsi="Courier New"/>
          <w:sz w:val="14"/>
          <w:szCs w:val="14"/>
        </w:rPr>
        <w:t xml:space="preserve">│  │  FastAPI     │ │  RBAC      │ │ Telemetry    │ │  Delta + Rollback  │    │
</w:t>
      </w:r>
      <w:r>
        <w:rPr>
          <w:rFonts w:ascii="Courier New" w:cs="Courier New" w:eastAsia="Courier New" w:hAnsi="Courier New"/>
          <w:sz w:val="14"/>
          <w:szCs w:val="14"/>
        </w:rPr>
        <w:t xml:space="preserve">│  │  Python 3.12 │ │  Service   │ │ Ingest       │ │  Signed artifacts  │    │
</w:t>
      </w:r>
      <w:r>
        <w:rPr>
          <w:rFonts w:ascii="Courier New" w:cs="Courier New" w:eastAsia="Courier New" w:hAnsi="Courier New"/>
          <w:sz w:val="14"/>
          <w:szCs w:val="14"/>
        </w:rPr>
        <w:t xml:space="preserve">│  └──────┬───────┘ └─────┬──────┘ └──────┬───────┘ └──────────┬─────────┘    │
</w:t>
      </w:r>
      <w:r>
        <w:rPr>
          <w:rFonts w:ascii="Courier New" w:cs="Courier New" w:eastAsia="Courier New" w:hAnsi="Courier New"/>
          <w:sz w:val="14"/>
          <w:szCs w:val="14"/>
        </w:rPr>
        <w:t xml:space="preserve">│         │               │               │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Control Plane Bus    │                                  │
</w:t>
      </w:r>
      <w:r>
        <w:rPr>
          <w:rFonts w:ascii="Courier New" w:cs="Courier New" w:eastAsia="Courier New" w:hAnsi="Courier New"/>
          <w:sz w:val="14"/>
          <w:szCs w:val="14"/>
        </w:rPr>
        <w:t xml:space="preserve">│                   │   EMQX 5.x MQTT +      │                                  │
</w:t>
      </w:r>
      <w:r>
        <w:rPr>
          <w:rFonts w:ascii="Courier New" w:cs="Courier New" w:eastAsia="Courier New" w:hAnsi="Courier New"/>
          <w:sz w:val="14"/>
          <w:szCs w:val="14"/>
        </w:rPr>
        <w:t xml:space="preserve">│                   │   Redis 8 Streams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DATA TIER                                                                     │
</w:t>
      </w:r>
      <w:r>
        <w:rPr>
          <w:rFonts w:ascii="Courier New" w:cs="Courier New" w:eastAsia="Courier New" w:hAnsi="Courier New"/>
          <w:sz w:val="14"/>
          <w:szCs w:val="14"/>
        </w:rPr>
        <w:t xml:space="preserve">│  ┌──────────────────┐  ┌──────────────────┐  ┌──────────────────────────┐    │
</w:t>
      </w:r>
      <w:r>
        <w:rPr>
          <w:rFonts w:ascii="Courier New" w:cs="Courier New" w:eastAsia="Courier New" w:hAnsi="Courier New"/>
          <w:sz w:val="14"/>
          <w:szCs w:val="14"/>
        </w:rPr>
        <w:t xml:space="preserve">│  │  PostgreSQL 17   │  │   QuestDB 9.x    │  │   S3 / MinIO             │    │
</w:t>
      </w:r>
      <w:r>
        <w:rPr>
          <w:rFonts w:ascii="Courier New" w:cs="Courier New" w:eastAsia="Courier New" w:hAnsi="Courier New"/>
          <w:sz w:val="14"/>
          <w:szCs w:val="14"/>
        </w:rPr>
        <w:t xml:space="preserve">│  │  Config + RBAC   │  │   Telemetry TS   │  │   Firmware, exports,     │    │
</w:t>
      </w:r>
      <w:r>
        <w:rPr>
          <w:rFonts w:ascii="Courier New" w:cs="Courier New" w:eastAsia="Courier New" w:hAnsi="Courier New"/>
          <w:sz w:val="14"/>
          <w:szCs w:val="14"/>
        </w:rPr>
        <w:t xml:space="preserve">│  │  Audit log       │  │   GPS tracks     │  │   config snapshots       │    │
</w:t>
      </w:r>
      <w:r>
        <w:rPr>
          <w:rFonts w:ascii="Courier New" w:cs="Courier New" w:eastAsia="Courier New" w:hAnsi="Courier New"/>
          <w:sz w:val="14"/>
          <w:szCs w:val="14"/>
        </w:rPr>
        <w:t xml:space="preserve">│  └──────────────────┘  └──────────────────┘  └──────────────────────────┘    │
</w:t>
      </w:r>
      <w:r>
        <w:rPr>
          <w:rFonts w:ascii="Courier New" w:cs="Courier New" w:eastAsia="Courier New" w:hAnsi="Courier New"/>
          <w:sz w:val="14"/>
          <w:szCs w:val="14"/>
        </w:rPr>
        <w:t xml:space="preserve">│                                                                                │
</w:t>
      </w:r>
      <w:r>
        <w:rPr>
          <w:rFonts w:ascii="Courier New" w:cs="Courier New" w:eastAsia="Courier New" w:hAnsi="Courier New"/>
          <w:sz w:val="14"/>
          <w:szCs w:val="14"/>
        </w:rPr>
        <w:t xml:space="preserve">├────────────────────────────────────────────────────────────────────────────────┤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MQTT over TLS 1.3 + mTLS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RADIO TIER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  Mesh Rider OS (customized OpenWrt)                                    │   │
</w:t>
      </w:r>
      <w:r>
        <w:rPr>
          <w:rFonts w:ascii="Courier New" w:cs="Courier New" w:eastAsia="Courier New" w:hAnsi="Courier New"/>
          <w:sz w:val="14"/>
          <w:szCs w:val="14"/>
        </w:rPr>
        <w:t xml:space="preserve">│  │  ├─ Mesh Rider control plane (waveform, Sense, Dynamic Mesh) — UNCHANGED│  │
</w:t>
      </w:r>
      <w:r>
        <w:rPr>
          <w:rFonts w:ascii="Courier New" w:cs="Courier New" w:eastAsia="Courier New" w:hAnsi="Courier New"/>
          <w:sz w:val="14"/>
          <w:szCs w:val="14"/>
        </w:rPr>
        <w:t xml:space="preserve">│  │  ├─ LuCI web UI — UNCHANGED                                             │  │
</w:t>
      </w:r>
      <w:r>
        <w:rPr>
          <w:rFonts w:ascii="Courier New" w:cs="Courier New" w:eastAsia="Courier New" w:hAnsi="Courier New"/>
          <w:sz w:val="14"/>
          <w:szCs w:val="14"/>
        </w:rPr>
        <w:t xml:space="preserve">│  │  └─ Fleet Agent (opkg, Rust)                                            │  │
</w:t>
      </w:r>
      <w:r>
        <w:rPr>
          <w:rFonts w:ascii="Courier New" w:cs="Courier New" w:eastAsia="Courier New" w:hAnsi="Courier New"/>
          <w:sz w:val="14"/>
          <w:szCs w:val="14"/>
        </w:rPr>
        <w:t xml:space="preserve">│  │     ├─ Telemetry collector  (UCI, iwinfo, batctl, Sense counters)       │  │
</w:t>
      </w:r>
      <w:r>
        <w:rPr>
          <w:rFonts w:ascii="Courier New" w:cs="Courier New" w:eastAsia="Courier New" w:hAnsi="Courier New"/>
          <w:sz w:val="14"/>
          <w:szCs w:val="14"/>
        </w:rPr>
        <w:t xml:space="preserve">│  │     ├─ Config applier       (UCI transactional, rollback on fail)       │  │
</w:t>
      </w:r>
      <w:r>
        <w:rPr>
          <w:rFonts w:ascii="Courier New" w:cs="Courier New" w:eastAsia="Courier New" w:hAnsi="Courier New"/>
          <w:sz w:val="14"/>
          <w:szCs w:val="14"/>
        </w:rPr>
        <w:t xml:space="preserve">│  │     ├─ OTA worker           (ustream-ssl, sysupgrade, A/B slot aware)   │  │
</w:t>
      </w:r>
      <w:r>
        <w:rPr>
          <w:rFonts w:ascii="Courier New" w:cs="Courier New" w:eastAsia="Courier New" w:hAnsi="Courier New"/>
          <w:sz w:val="14"/>
          <w:szCs w:val="14"/>
        </w:rPr>
        <w:t xml:space="preserve">│  │     └─ mTLS MQTT client     (device identity = mac + X.509 + TPM where) │  │
</w:t>
      </w:r>
      <w:r>
        <w:rPr>
          <w:rFonts w:ascii="Courier New" w:cs="Courier New" w:eastAsia="Courier New" w:hAnsi="Courier New"/>
          <w:sz w:val="14"/>
          <w:szCs w:val="14"/>
        </w:rPr>
        <w:t xml:space="preserve">│  └────────────────────────────────────────────────────────────────────────┘   │
</w:t>
      </w:r>
      <w:r>
        <w:rPr>
          <w:rFonts w:ascii="Courier New" w:cs="Courier New" w:eastAsia="Courier New" w:hAnsi="Courier New"/>
          <w:sz w:val="14"/>
          <w:szCs w:val="14"/>
        </w:rPr>
        <w:t xml:space="preserve">└────────────────────────────────────────────────────────────────────────────────┘
</w:t>
      </w:r>
    </w:p>
    <w:p>
      <w:pPr>
        <w:pStyle w:val="Heading2"/>
        <w:spacing w:after="120" w:before="260"/>
      </w:pPr>
      <w:r>
        <w:rPr>
          <w:rFonts w:ascii="Arial" w:cs="Arial" w:eastAsia="Arial" w:hAnsi="Arial"/>
          <w:b/>
          <w:bCs/>
          <w:color w:val="0A5E9C"/>
          <w:sz w:val="26"/>
          <w:szCs w:val="26"/>
        </w:rPr>
        <w:t xml:space="preserve">3.3 Why These Choices</w:t>
      </w:r>
    </w:p>
    <w:p>
      <w:pPr>
        <w:pStyle w:val="Heading3"/>
        <w:spacing w:after="100" w:before="200"/>
      </w:pPr>
      <w:r>
        <w:rPr>
          <w:rFonts w:ascii="Arial" w:cs="Arial" w:eastAsia="Arial" w:hAnsi="Arial"/>
          <w:b/>
          <w:bCs/>
          <w:color w:val="1A1A1A"/>
          <w:sz w:val="22"/>
          <w:szCs w:val="22"/>
        </w:rPr>
        <w:t xml:space="preserve">3.3.1 Client: Next.js 16.2 + React 19.2 for Web and Desktop</w:t>
      </w:r>
    </w:p>
    <w:p>
      <w:pPr>
        <w:spacing w:after="80" w:before="80" w:line="300"/>
      </w:pPr>
      <w:r>
        <w:rPr>
          <w:rFonts w:ascii="Arial" w:cs="Arial" w:eastAsia="Arial" w:hAnsi="Arial"/>
        </w:rPr>
        <w:t xml:space="preserve">Next.js 16 stable shipped October 2025. Next.js 16.2, released March 2026, stabilized the Adapters API, brought Turbopack to default for dev and build, and landed AI-ready tooling. The React Compiler is stable in 16. Server Components and incremental prefetching reduce bundle payload materially — measurable in kB on the wire, which matters for bandwidth-constrained operator networks.</w:t>
      </w:r>
    </w:p>
    <w:p>
      <w:pPr>
        <w:spacing w:after="80" w:before="80" w:line="300"/>
      </w:pPr>
      <w:r>
        <w:rPr>
          <w:rFonts w:ascii="Arial" w:cs="Arial" w:eastAsia="Arial" w:hAnsi="Arial"/>
        </w:rPr>
        <w:t xml:space="preserve">MapLibre GL JS 5.x is the topology rendering engine. It is the live fork of the Mapbox GL open-source lineage, offline-tile-capable, WebGL-rendered, and does not impose Mapbox token licensing on a multi-tenant product. 500 nodes with link animation is well within its single-canvas performance envelope.</w:t>
      </w:r>
    </w:p>
    <w:p>
      <w:pPr>
        <w:spacing w:after="80" w:before="80" w:line="300"/>
      </w:pPr>
      <w:r>
        <w:rPr>
          <w:rFonts w:ascii="Arial" w:cs="Arial" w:eastAsia="Arial" w:hAnsi="Arial"/>
        </w:rPr>
        <w:t xml:space="preserve">Desktop is Tauri 2 wrapping the same web bundle. Rust-backed shell, 10–20 MB installer instead of Electron's 150 MB+, Windows and Linux only (we do not need macOS for this customer).</w:t>
      </w:r>
    </w:p>
    <w:p>
      <w:pPr>
        <w:pStyle w:val="Heading3"/>
        <w:spacing w:after="100" w:before="200"/>
      </w:pPr>
      <w:r>
        <w:rPr>
          <w:rFonts w:ascii="Arial" w:cs="Arial" w:eastAsia="Arial" w:hAnsi="Arial"/>
          <w:b/>
          <w:bCs/>
          <w:color w:val="1A1A1A"/>
          <w:sz w:val="22"/>
          <w:szCs w:val="22"/>
        </w:rPr>
        <w:t xml:space="preserve">3.3.2 Android ATAK Plugin: Kotlin + Jetpack Compose + ATAK-CIV SDK 5.5</w:t>
      </w:r>
    </w:p>
    <w:p>
      <w:pPr>
        <w:spacing w:after="80" w:before="80" w:line="300"/>
      </w:pPr>
      <w:r>
        <w:rPr>
          <w:rFonts w:ascii="Arial" w:cs="Arial" w:eastAsia="Arial" w:hAnsi="Arial"/>
        </w:rPr>
        <w:t xml:space="preserve">The ATAK-CIV SDK 5.5 release in August 2025 added Jetpack Compose support to the plugin template. We build a native Android plugin, not a Flutter hybrid. The plugin registers with ATAK's lifecycle and injects radio telemetry, topology overlays, and configuration actions directly into the ATAK map view. This is the only architecture that ATAK operators will accept — anything else loses to the free Silvus StreamScape ATAK plugin at first demo.</w:t>
      </w:r>
    </w:p>
    <w:p>
      <w:pPr>
        <w:pStyle w:val="Heading3"/>
        <w:spacing w:after="100" w:before="200"/>
      </w:pPr>
      <w:r>
        <w:rPr>
          <w:rFonts w:ascii="Arial" w:cs="Arial" w:eastAsia="Arial" w:hAnsi="Arial"/>
          <w:b/>
          <w:bCs/>
          <w:color w:val="1A1A1A"/>
          <w:sz w:val="22"/>
          <w:szCs w:val="22"/>
        </w:rPr>
        <w:t xml:space="preserve">3.3.3 Backend: FastAPI on Python 3.12</w:t>
      </w:r>
    </w:p>
    <w:p>
      <w:pPr>
        <w:spacing w:after="80" w:before="80" w:line="300"/>
      </w:pPr>
      <w:r>
        <w:rPr>
          <w:rFonts w:ascii="Arial" w:cs="Arial" w:eastAsia="Arial" w:hAnsi="Arial"/>
        </w:rPr>
        <w:t xml:space="preserve">FastAPI is the right framework for this service profile: async native, typed via Pydantic v2, OpenAPI generated automatically, battle-tested at scale for telemetry ingestion. It is not the fastest benchmark-winning framework, but it is the framework that an ML engineer, a backend engineer, and an integration engineer can all contribute to productively in week one. For the hot path we profile carefully and push to Rust services only where profiling proves need. We do not start with Rust microservices; that is a solution without a measured problem.</w:t>
      </w:r>
    </w:p>
    <w:p>
      <w:pPr>
        <w:pStyle w:val="Heading3"/>
        <w:spacing w:after="100" w:before="200"/>
      </w:pPr>
      <w:r>
        <w:rPr>
          <w:rFonts w:ascii="Arial" w:cs="Arial" w:eastAsia="Arial" w:hAnsi="Arial"/>
          <w:b/>
          <w:bCs/>
          <w:color w:val="1A1A1A"/>
          <w:sz w:val="22"/>
          <w:szCs w:val="22"/>
        </w:rPr>
        <w:t xml:space="preserve">3.3.4 Messaging: EMQX 5.x on MQTT v5</w:t>
      </w:r>
    </w:p>
    <w:p>
      <w:pPr>
        <w:spacing w:after="80" w:before="80" w:line="300"/>
      </w:pPr>
      <w:r>
        <w:rPr>
          <w:rFonts w:ascii="Arial" w:cs="Arial" w:eastAsia="Arial" w:hAnsi="Arial"/>
        </w:rPr>
        <w:t xml:space="preserve">EMQX 5.x is clustered, horizontally scalable, supports MQTT v5 features (session expiry, shared subscriptions, topic aliases, user properties) that are directly useful for fleet-scale command fan-out. Mosquitto is adequate for a single-broker deployment but does not cluster cleanly past a few thousand clients. NATS was proposed in Sep 2025. It is a fine system. It is also another protocol our on-radio agent would have to speak, another client library to ship, and another operational skillset to hire for. MQTT is already in the Mesh Rider ecosystem.</w:t>
      </w:r>
    </w:p>
    <w:p>
      <w:pPr>
        <w:pStyle w:val="Heading3"/>
        <w:spacing w:after="100" w:before="200"/>
      </w:pPr>
      <w:r>
        <w:rPr>
          <w:rFonts w:ascii="Arial" w:cs="Arial" w:eastAsia="Arial" w:hAnsi="Arial"/>
          <w:b/>
          <w:bCs/>
          <w:color w:val="1A1A1A"/>
          <w:sz w:val="22"/>
          <w:szCs w:val="22"/>
        </w:rPr>
        <w:t xml:space="preserve">3.3.5 Data: PostgreSQL 17 + QuestDB 9.x + Redis 8</w:t>
      </w:r>
    </w:p>
    <w:p>
      <w:pPr>
        <w:spacing w:after="80" w:before="80" w:line="300"/>
      </w:pPr>
      <w:r>
        <w:rPr>
          <w:rFonts w:ascii="Arial" w:cs="Arial" w:eastAsia="Arial" w:hAnsi="Arial"/>
        </w:rPr>
        <w:t xml:space="preserve">PostgreSQL 17 (released Sep 2024, current minor 17.4 as of 2026) for relational state: tenants, users, RBAC, device registry, configuration templates, OTA campaigns, audit log. JSONB columns for flexible per-device metadata. Row-level security for hard tenant isolation at the database tier.</w:t>
      </w:r>
    </w:p>
    <w:p>
      <w:pPr>
        <w:spacing w:after="80" w:before="80" w:line="300"/>
      </w:pPr>
      <w:r>
        <w:rPr>
          <w:rFonts w:ascii="Arial" w:cs="Arial" w:eastAsia="Arial" w:hAnsi="Arial"/>
        </w:rPr>
        <w:t xml:space="preserve">QuestDB 9.x for time-series telemetry: SNR, throughput, packet error rate, GPS tracks, Sense band-scan results, interface counters. QuestDB TSBS benchmarks in 2025–2026 consistently show 4x ingest and 20x+ lastpoint query advantages over TimescaleDB on IoT-shaped workloads (see QuestDB vs TimescaleDB, Dec 2025). PGWire protocol compatibility means we can query it with the same tooling as PostgreSQL. We pick it over TimescaleDB specifically for high-cardinality, high-ingest telemetry; we pick it over ClickHouse because QuestDB is streaming-native whereas ClickHouse is batch-loaded.</w:t>
      </w:r>
    </w:p>
    <w:p>
      <w:pPr>
        <w:spacing w:after="80" w:before="80" w:line="300"/>
      </w:pPr>
      <w:r>
        <w:rPr>
          <w:rFonts w:ascii="Arial" w:cs="Arial" w:eastAsia="Arial" w:hAnsi="Arial"/>
        </w:rPr>
        <w:t xml:space="preserve">Redis 8 (the AGPL-era fork situation stabilized in 2024 with Redis 7.4 under SSPL and Valkey 8 under BSD) for caching, WebSocket session routing, rate limiting, and per-tenant pub/sub. We standardize on Valkey in the on-prem build to avoid SSPL ambiguity; the wire protocol is identical.</w:t>
      </w:r>
    </w:p>
    <w:p>
      <w:pPr>
        <w:pStyle w:val="Heading3"/>
        <w:spacing w:after="100" w:before="200"/>
      </w:pPr>
      <w:r>
        <w:rPr>
          <w:rFonts w:ascii="Arial" w:cs="Arial" w:eastAsia="Arial" w:hAnsi="Arial"/>
          <w:b/>
          <w:bCs/>
          <w:color w:val="1A1A1A"/>
          <w:sz w:val="22"/>
          <w:szCs w:val="22"/>
        </w:rPr>
        <w:t xml:space="preserve">3.3.6 Identity &amp; Auth</w:t>
      </w:r>
    </w:p>
    <w:p>
      <w:pPr>
        <w:spacing w:after="80" w:before="80" w:line="300"/>
      </w:pPr>
      <w:r>
        <w:rPr>
          <w:rFonts w:ascii="Arial" w:cs="Arial" w:eastAsia="Arial" w:hAnsi="Arial"/>
        </w:rPr>
        <w:t xml:space="preserve">Auth.js v5 (NextAuth lineage, rebranded and API-stabilized in 2025) on the Next.js application. OIDC federation for enterprise customers (Okta, Azure AD, Google Workspace). Machine-to-machine between services with short-lived JWTs minted from an in-cluster Keycloak or Authentik instance. Device-to-cloud is X.509 mTLS per radio, rooted in a Doodle-operated CA. Radios with TPM or secure enclave bind the private key to hardware where available; for the rest of the fleet the key is in a protected file with filesystem ACLs and a verified-boot root of trust.</w:t>
      </w:r>
    </w:p>
    <w:p>
      <w:pPr>
        <w:pStyle w:val="Heading3"/>
        <w:spacing w:after="100" w:before="200"/>
      </w:pPr>
      <w:r>
        <w:rPr>
          <w:rFonts w:ascii="Arial" w:cs="Arial" w:eastAsia="Arial" w:hAnsi="Arial"/>
          <w:b/>
          <w:bCs/>
          <w:color w:val="1A1A1A"/>
          <w:sz w:val="22"/>
          <w:szCs w:val="22"/>
        </w:rPr>
        <w:t xml:space="preserve">3.3.7 On-Radio Agent</w:t>
      </w:r>
    </w:p>
    <w:p>
      <w:pPr>
        <w:spacing w:after="80" w:before="80" w:line="300"/>
      </w:pPr>
      <w:r>
        <w:rPr>
          <w:rFonts w:ascii="Arial" w:cs="Arial" w:eastAsia="Arial" w:hAnsi="Arial"/>
        </w:rPr>
        <w:t xml:space="preserve">The Fleet Agent is a single Rust binary cross-compiled for the Mesh Rider Radio targets (armv7, aarch64, mips depending on SKU). It is packaged as a signed opkg. It talks to Mesh Rider OS via UCI (for configuration reads and writes), ubus (for live service state), and parses iwinfo, batctl, and Sense-specific debug output for telemetry. The agent is the only component we put on the radio; it does not replace LuCI, does not fork Mesh Rider OS, and does not take over network configuration. Configuration transactions are UCI commits; on failure, the agent reverts the UCI state and publishes the failure reason.</w:t>
      </w:r>
    </w:p>
    <w:p>
      <w:pPr>
        <w:pStyle w:val="Heading2"/>
        <w:spacing w:after="120" w:before="260"/>
      </w:pPr>
      <w:r>
        <w:rPr>
          <w:rFonts w:ascii="Arial" w:cs="Arial" w:eastAsia="Arial" w:hAnsi="Arial"/>
          <w:b/>
          <w:bCs/>
          <w:color w:val="0A5E9C"/>
          <w:sz w:val="26"/>
          <w:szCs w:val="26"/>
        </w:rPr>
        <w:t xml:space="preserve">3.4 Verified 2026-April Stack</w:t>
      </w:r>
    </w:p>
    <w:p>
      <w:pPr>
        <w:spacing w:after="80" w:before="80" w:line="300"/>
      </w:pPr>
      <w:r>
        <w:rPr>
          <w:rFonts w:ascii="Arial" w:cs="Arial" w:eastAsia="Arial" w:hAnsi="Arial"/>
        </w:rPr>
        <w:t xml:space="preserve">Every version below was verified against primary sources as of April 2026. No component is experimental, alpha, or a pre-release unless explicitly flagged.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960"/>
      </w:tblGrid>
      <w:tr>
        <w:tc>
          <w:tcPr>
            <w:tcW w:type="dxa" w:w="24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Component</w:t>
            </w:r>
          </w:p>
        </w:tc>
        <w:tc>
          <w:tcPr>
            <w:tcW w:type="dxa" w:w="39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Version / Rationale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Next.js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16.2 (March 2026). App Router, React Server Components, Turbopack default, React Compiler stable.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React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19.2 (bundled with Next.js 16.2). View Transitions, useEffectEvent, Activity component.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TypeScript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5.7 (late 2025 release line).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Tailwind CSS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4.x (released 2025, stable). Oxide engine, no PostCSS plugin.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UI kit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shadcn/ui on Radix Primitives. Copy-in, no runtime lock-in.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Maps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MapLibre GL JS 5.x. Self-hosted tiles via MapTiler or OpenFreeMap for cloud; MBTiles for airgap.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Charts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Apache ECharts 5.x. Handles dense time-series and link-quality heatmaps better than Chart.js.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State / fetching</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TanStack Query v5 + Zustand 5. No Redux.</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client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Real-time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Native WebSocket with reconnect-and-resume client. No Socket.IO (adds weight we do not need).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 plugin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ATAK-CIV SDK</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5.5 (Aug 2025 release). Jetpack Compose plugin template path.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 plugin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Kotlin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2.1. Jetpack Compose compiler tracking Compose BOM 2025.12.</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 plugin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Maps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MapLibre Native Android, integrating with ATAK map layers via the plugin map surface.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Desktop</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Tauri</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2.x (released late 2024, 2.2+ line as of 2026). Shared Next.js bundle, Rust shell.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Python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3.12. Reserved upgrade to 3.13 after workload baselining.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FastAPI</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0.115+ line. Pydantic v2 models. Uvicorn + Gunicorn workers under ASGI.</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Task queue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Celery 5.4 with Redis 8 / Valkey 8 as broker; alternative evaluated: Dramatiq. Celery retained for ecosystem.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On-radio agent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Rust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1.85 stable (Q1 2026). no_std-friendly where feasible; full std on the OpenWrt targets.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Messaging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EMQX</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5.8+ line. Clustered. MQTT v5. Bridge to cloud broker for on-prem tenants that federate upstream.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Relational DB</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PostgreSQL</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17.4. Row-level security for tenant isolation. Logical replication for DR.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Time-series DB</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QuestDB</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9.x (9.0.0 released July 2025, 9.x line through 2026). PGWire client compatibility.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Cache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Redis / Valkey</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Redis 7.4 on SaaS (managed ElastiCache), Valkey 8 on on-prem (BSD license).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Object store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S3 / MinIO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AWS S3 (SaaS) or MinIO (on-prem). Signed URLs for firmware downloads.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Orchestration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Kubernetes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1.30 LTS line. Helm 3.15+ charts. ArgoCD for GitOps.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Ingress / Edge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Cloudflare Tunnel / AWS ALB</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WAF + mTLS termination. Edge CDN for static assets.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Auth.js v5</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OIDC + SAML federation. WebAuthn for operator MFA.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Observability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OpenTelemetry + Grafana LGTM stack</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Loki (logs), Mimir (metrics), Tempo (traces). Grafana 11.x dashboards.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CI/CD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GitHub Actions + ArgoCD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Build, test, security-scan, sign, publish, GitOps-deploy.</w:t>
            </w:r>
          </w:p>
        </w:tc>
      </w:tr>
    </w:tbl>
    <w:p>
      <w:pPr>
        <w:pStyle w:val="Heading2"/>
        <w:spacing w:after="120" w:before="260"/>
      </w:pPr>
      <w:r>
        <w:rPr>
          <w:rFonts w:ascii="Arial" w:cs="Arial" w:eastAsia="Arial" w:hAnsi="Arial"/>
          <w:b/>
          <w:bCs/>
          <w:color w:val="0A5E9C"/>
          <w:sz w:val="26"/>
          <w:szCs w:val="26"/>
        </w:rPr>
        <w:t xml:space="preserve">3.5 Deliberately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4708" w:sz="4"/>
              <w:left w:val="single" w:color="B54708" w:sz="18"/>
              <w:bottom w:val="single" w:color="B54708" w:sz="4"/>
              <w:right w:val="single" w:color="B54708" w:sz="4"/>
            </w:tcBorders>
            <w:shd w:fill="FFF4E5" w:val="clear"/>
            <w:tcMar>
              <w:top w:type="dxa" w:w="160"/>
              <w:left w:type="dxa" w:w="220"/>
              <w:bottom w:type="dxa" w:w="160"/>
              <w:right w:type="dxa" w:w="200"/>
            </w:tcMar>
          </w:tcPr>
          <w:p>
            <w:pPr>
              <w:spacing w:after="40" w:before="60"/>
            </w:pPr>
            <w:r>
              <w:rPr>
                <w:rFonts w:ascii="Arial" w:cs="Arial" w:eastAsia="Arial" w:hAnsi="Arial"/>
                <w:b/>
                <w:bCs/>
                <w:caps/>
                <w:color w:val="B54708"/>
                <w:sz w:val="20"/>
                <w:szCs w:val="20"/>
              </w:rPr>
              <w:t xml:space="preserve">Not in Scope — and Why</w:t>
            </w:r>
          </w:p>
          <w:p>
            <w:pPr>
              <w:spacing w:after="20" w:before="20" w:line="280"/>
            </w:pPr>
            <w:r>
              <w:rPr>
                <w:rFonts w:ascii="Arial" w:cs="Arial" w:eastAsia="Arial" w:hAnsi="Arial"/>
                <w:color w:val="1A1A1A"/>
                <w:sz w:val="20"/>
                <w:szCs w:val="20"/>
              </w:rPr>
              <w:t xml:space="preserve">WASM on the radio. Production WASM runtimes on the OpenWrt targets Doodle Labs ships are not where they need to be in April 2026. Rust-to-native cross-compile is the right answer for this decade.</w:t>
            </w:r>
          </w:p>
          <w:p>
            <w:pPr>
              <w:spacing w:after="20" w:before="20" w:line="280"/>
            </w:pPr>
            <w:r>
              <w:rPr>
                <w:rFonts w:ascii="Arial" w:cs="Arial" w:eastAsia="Arial" w:hAnsi="Arial"/>
                <w:color w:val="1A1A1A"/>
                <w:sz w:val="20"/>
                <w:szCs w:val="20"/>
              </w:rPr>
              <w:t xml:space="preserve">On-device AI inference in the NMS agent. The RF decisions (Sense, Dynamic Mesh, band selection) already live in Mesh Rider OS where they belong. Duplicating that in a Rust agent is wrong. ML on the server, for anomaly detection and link quality prediction, is Phase 3.</w:t>
            </w:r>
          </w:p>
          <w:p>
            <w:pPr>
              <w:spacing w:after="20" w:before="20" w:line="280"/>
            </w:pPr>
            <w:r>
              <w:rPr>
                <w:rFonts w:ascii="Arial" w:cs="Arial" w:eastAsia="Arial" w:hAnsi="Arial"/>
                <w:color w:val="1A1A1A"/>
                <w:sz w:val="20"/>
                <w:szCs w:val="20"/>
              </w:rPr>
              <w:t xml:space="preserve">GraphQL Federation. A single REST API with OpenAPI contract and a WebSocket channel is sufficient and simpler to operate. GraphQL adds complexity the customer does not see.</w:t>
            </w:r>
          </w:p>
          <w:p>
            <w:pPr>
              <w:spacing w:after="20" w:before="20" w:line="280"/>
            </w:pPr>
            <w:r>
              <w:rPr>
                <w:rFonts w:ascii="Arial" w:cs="Arial" w:eastAsia="Arial" w:hAnsi="Arial"/>
                <w:color w:val="1A1A1A"/>
                <w:sz w:val="20"/>
                <w:szCs w:val="20"/>
              </w:rPr>
              <w:t xml:space="preserve">ScyllaDB, NATS, Apache Pulsar, Kafka. Every one of these is a defensible choice for a bigger workload. None is justified by a 500-node-per-tenant ceiling.</w:t>
            </w:r>
          </w:p>
          <w:p>
            <w:pPr>
              <w:spacing w:after="20" w:before="20" w:line="280"/>
            </w:pPr>
            <w:r>
              <w:rPr>
                <w:rFonts w:ascii="Arial" w:cs="Arial" w:eastAsia="Arial" w:hAnsi="Arial"/>
                <w:color w:val="1A1A1A"/>
                <w:sz w:val="20"/>
                <w:szCs w:val="20"/>
              </w:rPr>
              <w:t xml:space="preserve">3D topology and AR overlay. Dashboard features that sell poorly against the actual buyer (an operator or integrator) who just wants to know which radio is red. Revisit after Phase 3.</w:t>
            </w:r>
          </w:p>
        </w:tc>
      </w:tr>
    </w:tbl>
    <w:p>
      <w:r>
        <w:br w:type="page"/>
      </w:r>
    </w:p>
    <w:p>
      <w:pPr>
        <w:pStyle w:val="Heading1"/>
        <w:spacing w:after="160" w:before="360"/>
      </w:pPr>
      <w:r>
        <w:rPr>
          <w:rFonts w:ascii="Arial" w:cs="Arial" w:eastAsia="Arial" w:hAnsi="Arial"/>
          <w:b/>
          <w:bCs/>
          <w:color w:val="083C63"/>
          <w:sz w:val="32"/>
          <w:szCs w:val="32"/>
        </w:rPr>
        <w:t xml:space="preserve">4. Feature Scope by Release</w:t>
      </w:r>
    </w:p>
    <w:p>
      <w:pPr>
        <w:pStyle w:val="Heading2"/>
        <w:spacing w:after="120" w:before="260"/>
      </w:pPr>
      <w:r>
        <w:rPr>
          <w:rFonts w:ascii="Arial" w:cs="Arial" w:eastAsia="Arial" w:hAnsi="Arial"/>
          <w:b/>
          <w:bCs/>
          <w:color w:val="0A5E9C"/>
          <w:sz w:val="26"/>
          <w:szCs w:val="26"/>
        </w:rPr>
        <w:t xml:space="preserve">4.1 Phase 1 — Fleet MVP (Months 1–4)</w:t>
      </w:r>
    </w:p>
    <w:p>
      <w:pPr>
        <w:spacing w:after="80" w:before="80" w:line="300"/>
      </w:pPr>
      <w:r>
        <w:rPr>
          <w:rFonts w:ascii="Arial" w:cs="Arial" w:eastAsia="Arial" w:hAnsi="Arial"/>
        </w:rPr>
        <w:t xml:space="preserve">The bar for Phase 1 is: the first customer replaces their LuCI-per-radio habit with Fleet NMS and does not miss it. Nothing more, nothing less.</w:t>
      </w:r>
    </w:p>
    <w:p>
      <w:pPr>
        <w:pStyle w:val="ListParagraph"/>
        <w:numPr>
          <w:ilvl w:val="0"/>
          <w:numId w:val="2"/>
        </w:numPr>
        <w:spacing w:after="40" w:before="40" w:line="280"/>
      </w:pPr>
      <w:r>
        <w:rPr>
          <w:rFonts w:ascii="Arial" w:cs="Arial" w:eastAsia="Arial" w:hAnsi="Arial"/>
          <w:b/>
          <w:bCs/>
        </w:rPr>
        <w:t xml:space="preserve">Multi-tenant onboarding: </w:t>
      </w:r>
      <w:r>
        <w:rPr>
          <w:rFonts w:ascii="Arial" w:cs="Arial" w:eastAsia="Arial" w:hAnsi="Arial"/>
        </w:rPr>
        <w:t xml:space="preserve">Tenant creation, user invite, OIDC federation with Okta / Azure AD / Google Workspace.</w:t>
      </w:r>
    </w:p>
    <w:p>
      <w:pPr>
        <w:pStyle w:val="ListParagraph"/>
        <w:numPr>
          <w:ilvl w:val="0"/>
          <w:numId w:val="2"/>
        </w:numPr>
        <w:spacing w:after="40" w:before="40" w:line="280"/>
      </w:pPr>
      <w:r>
        <w:rPr>
          <w:rFonts w:ascii="Arial" w:cs="Arial" w:eastAsia="Arial" w:hAnsi="Arial"/>
          <w:b/>
          <w:bCs/>
        </w:rPr>
        <w:t xml:space="preserve">Device registry: </w:t>
      </w:r>
      <w:r>
        <w:rPr>
          <w:rFonts w:ascii="Arial" w:cs="Arial" w:eastAsia="Arial" w:hAnsi="Arial"/>
        </w:rPr>
        <w:t xml:space="preserve">Bulk import of radios by MAC, individual claim via one-time token, X.509 enrollment over HTTPS.</w:t>
      </w:r>
    </w:p>
    <w:p>
      <w:pPr>
        <w:pStyle w:val="ListParagraph"/>
        <w:numPr>
          <w:ilvl w:val="0"/>
          <w:numId w:val="2"/>
        </w:numPr>
        <w:spacing w:after="40" w:before="40" w:line="280"/>
      </w:pPr>
      <w:r>
        <w:rPr>
          <w:rFonts w:ascii="Arial" w:cs="Arial" w:eastAsia="Arial" w:hAnsi="Arial"/>
          <w:b/>
          <w:bCs/>
        </w:rPr>
        <w:t xml:space="preserve">Live radio status: </w:t>
      </w:r>
      <w:r>
        <w:rPr>
          <w:rFonts w:ascii="Arial" w:cs="Arial" w:eastAsia="Arial" w:hAnsi="Arial"/>
        </w:rPr>
        <w:t xml:space="preserve">Online / offline / degraded / error. Last heard. Signal quality. Current firmware. Current UCI config version.</w:t>
      </w:r>
    </w:p>
    <w:p>
      <w:pPr>
        <w:pStyle w:val="ListParagraph"/>
        <w:numPr>
          <w:ilvl w:val="0"/>
          <w:numId w:val="2"/>
        </w:numPr>
        <w:spacing w:after="40" w:before="40" w:line="280"/>
      </w:pPr>
      <w:r>
        <w:rPr>
          <w:rFonts w:ascii="Arial" w:cs="Arial" w:eastAsia="Arial" w:hAnsi="Arial"/>
          <w:b/>
          <w:bCs/>
        </w:rPr>
        <w:t xml:space="preserve">Fleet dashboard: </w:t>
      </w:r>
      <w:r>
        <w:rPr>
          <w:rFonts w:ascii="Arial" w:cs="Arial" w:eastAsia="Arial" w:hAnsi="Arial"/>
        </w:rPr>
        <w:t xml:space="preserve">Grid and map views. Filter by tenant, site, group, tag, firmware version, band. Saved views.</w:t>
      </w:r>
    </w:p>
    <w:p>
      <w:pPr>
        <w:pStyle w:val="ListParagraph"/>
        <w:numPr>
          <w:ilvl w:val="0"/>
          <w:numId w:val="2"/>
        </w:numPr>
        <w:spacing w:after="40" w:before="40" w:line="280"/>
      </w:pPr>
      <w:r>
        <w:rPr>
          <w:rFonts w:ascii="Arial" w:cs="Arial" w:eastAsia="Arial" w:hAnsi="Arial"/>
          <w:b/>
          <w:bCs/>
        </w:rPr>
        <w:t xml:space="preserve">Topology view: </w:t>
      </w:r>
      <w:r>
        <w:rPr>
          <w:rFonts w:ascii="Arial" w:cs="Arial" w:eastAsia="Arial" w:hAnsi="Arial"/>
        </w:rPr>
        <w:t xml:space="preserve">MapLibre-rendered network graph with live link quality coloring. Up to 500 nodes smooth.</w:t>
      </w:r>
    </w:p>
    <w:p>
      <w:pPr>
        <w:pStyle w:val="ListParagraph"/>
        <w:numPr>
          <w:ilvl w:val="0"/>
          <w:numId w:val="2"/>
        </w:numPr>
        <w:spacing w:after="40" w:before="40" w:line="280"/>
      </w:pPr>
      <w:r>
        <w:rPr>
          <w:rFonts w:ascii="Arial" w:cs="Arial" w:eastAsia="Arial" w:hAnsi="Arial"/>
          <w:b/>
          <w:bCs/>
        </w:rPr>
        <w:t xml:space="preserve">Configuration templates: </w:t>
      </w:r>
      <w:r>
        <w:rPr>
          <w:rFonts w:ascii="Arial" w:cs="Arial" w:eastAsia="Arial" w:hAnsi="Arial"/>
        </w:rPr>
        <w:t xml:space="preserve">UCI-based templates. Diff view. Apply to a group with staged rollout (canary percentage).</w:t>
      </w:r>
    </w:p>
    <w:p>
      <w:pPr>
        <w:pStyle w:val="ListParagraph"/>
        <w:numPr>
          <w:ilvl w:val="0"/>
          <w:numId w:val="2"/>
        </w:numPr>
        <w:spacing w:after="40" w:before="40" w:line="280"/>
      </w:pPr>
      <w:r>
        <w:rPr>
          <w:rFonts w:ascii="Arial" w:cs="Arial" w:eastAsia="Arial" w:hAnsi="Arial"/>
          <w:b/>
          <w:bCs/>
        </w:rPr>
        <w:t xml:space="preserve">OTA firmware updates: </w:t>
      </w:r>
      <w:r>
        <w:rPr>
          <w:rFonts w:ascii="Arial" w:cs="Arial" w:eastAsia="Arial" w:hAnsi="Arial"/>
        </w:rPr>
        <w:t xml:space="preserve">Campaign-based. Staged rollout. Per-radio dry-run. Automatic rollback on config or health failure.</w:t>
      </w:r>
    </w:p>
    <w:p>
      <w:pPr>
        <w:pStyle w:val="ListParagraph"/>
        <w:numPr>
          <w:ilvl w:val="0"/>
          <w:numId w:val="2"/>
        </w:numPr>
        <w:spacing w:after="40" w:before="40" w:line="280"/>
      </w:pPr>
      <w:r>
        <w:rPr>
          <w:rFonts w:ascii="Arial" w:cs="Arial" w:eastAsia="Arial" w:hAnsi="Arial"/>
          <w:b/>
          <w:bCs/>
        </w:rPr>
        <w:t xml:space="preserve">Audit log: </w:t>
      </w:r>
      <w:r>
        <w:rPr>
          <w:rFonts w:ascii="Arial" w:cs="Arial" w:eastAsia="Arial" w:hAnsi="Arial"/>
        </w:rPr>
        <w:t xml:space="preserve">Who did what when, with before/after diffs for every configuration change.</w:t>
      </w:r>
    </w:p>
    <w:p>
      <w:pPr>
        <w:pStyle w:val="ListParagraph"/>
        <w:numPr>
          <w:ilvl w:val="0"/>
          <w:numId w:val="2"/>
        </w:numPr>
        <w:spacing w:after="40" w:before="40" w:line="280"/>
      </w:pPr>
      <w:r>
        <w:rPr>
          <w:rFonts w:ascii="Arial" w:cs="Arial" w:eastAsia="Arial" w:hAnsi="Arial"/>
          <w:b/>
          <w:bCs/>
        </w:rPr>
        <w:t xml:space="preserve">Alerting — basics: </w:t>
      </w:r>
      <w:r>
        <w:rPr>
          <w:rFonts w:ascii="Arial" w:cs="Arial" w:eastAsia="Arial" w:hAnsi="Arial"/>
        </w:rPr>
        <w:t xml:space="preserve">Offline, degraded link, configuration drift, failed OTA. Webhook and email delivery. Slack + Teams connectors.</w:t>
      </w:r>
    </w:p>
    <w:p>
      <w:pPr>
        <w:pStyle w:val="ListParagraph"/>
        <w:numPr>
          <w:ilvl w:val="0"/>
          <w:numId w:val="2"/>
        </w:numPr>
        <w:spacing w:after="40" w:before="40" w:line="280"/>
      </w:pPr>
      <w:r>
        <w:rPr>
          <w:rFonts w:ascii="Arial" w:cs="Arial" w:eastAsia="Arial" w:hAnsi="Arial"/>
          <w:b/>
          <w:bCs/>
        </w:rPr>
        <w:t xml:space="preserve">RBAC: </w:t>
      </w:r>
      <w:r>
        <w:rPr>
          <w:rFonts w:ascii="Arial" w:cs="Arial" w:eastAsia="Arial" w:hAnsi="Arial"/>
        </w:rPr>
        <w:t xml:space="preserve">Tenant admin, site operator, read-only observer. Group-scoped permissions.</w:t>
      </w:r>
    </w:p>
    <w:p>
      <w:pPr>
        <w:pStyle w:val="ListParagraph"/>
        <w:numPr>
          <w:ilvl w:val="0"/>
          <w:numId w:val="2"/>
        </w:numPr>
        <w:spacing w:after="40" w:before="40" w:line="280"/>
      </w:pPr>
      <w:r>
        <w:rPr>
          <w:rFonts w:ascii="Arial" w:cs="Arial" w:eastAsia="Arial" w:hAnsi="Arial"/>
          <w:b/>
          <w:bCs/>
        </w:rPr>
        <w:t xml:space="preserve">API v1: </w:t>
      </w:r>
      <w:r>
        <w:rPr>
          <w:rFonts w:ascii="Arial" w:cs="Arial" w:eastAsia="Arial" w:hAnsi="Arial"/>
        </w:rPr>
        <w:t xml:space="preserve">REST + WebSocket. Full coverage of UI features. OpenAPI 3.1 contract, versioned.</w:t>
      </w:r>
    </w:p>
    <w:p>
      <w:pPr>
        <w:pStyle w:val="Heading2"/>
        <w:spacing w:after="120" w:before="260"/>
      </w:pPr>
      <w:r>
        <w:rPr>
          <w:rFonts w:ascii="Arial" w:cs="Arial" w:eastAsia="Arial" w:hAnsi="Arial"/>
          <w:b/>
          <w:bCs/>
          <w:color w:val="0A5E9C"/>
          <w:sz w:val="26"/>
          <w:szCs w:val="26"/>
        </w:rPr>
        <w:t xml:space="preserve">4.2 Phase 2 — ATAK Plugin, Desktop, On-Prem (Months 5–7)</w:t>
      </w:r>
    </w:p>
    <w:p>
      <w:pPr>
        <w:pStyle w:val="ListParagraph"/>
        <w:numPr>
          <w:ilvl w:val="0"/>
          <w:numId w:val="2"/>
        </w:numPr>
        <w:spacing w:after="40" w:before="40" w:line="280"/>
      </w:pPr>
      <w:r>
        <w:rPr>
          <w:rFonts w:ascii="Arial" w:cs="Arial" w:eastAsia="Arial" w:hAnsi="Arial"/>
          <w:b/>
          <w:bCs/>
        </w:rPr>
        <w:t xml:space="preserve">ATAK plugin GA: </w:t>
      </w:r>
      <w:r>
        <w:rPr>
          <w:rFonts w:ascii="Arial" w:cs="Arial" w:eastAsia="Arial" w:hAnsi="Arial"/>
        </w:rPr>
        <w:t xml:space="preserve">Topology overlay on ATAK map. Per-radio status bottom sheet. Config actions (channel, band, power, Sense profile). SNR and interference reporting. Login auth. Compatible with ATAK-CIV 5.4 and 5.5.</w:t>
      </w:r>
    </w:p>
    <w:p>
      <w:pPr>
        <w:pStyle w:val="ListParagraph"/>
        <w:numPr>
          <w:ilvl w:val="0"/>
          <w:numId w:val="2"/>
        </w:numPr>
        <w:spacing w:after="40" w:before="40" w:line="280"/>
      </w:pPr>
      <w:r>
        <w:rPr>
          <w:rFonts w:ascii="Arial" w:cs="Arial" w:eastAsia="Arial" w:hAnsi="Arial"/>
          <w:b/>
          <w:bCs/>
        </w:rPr>
        <w:t xml:space="preserve">Desktop client GA: </w:t>
      </w:r>
      <w:r>
        <w:rPr>
          <w:rFonts w:ascii="Arial" w:cs="Arial" w:eastAsia="Arial" w:hAnsi="Arial"/>
        </w:rPr>
        <w:t xml:space="preserve">Tauri 2 shell bundling the web app. Windows and Linux signed installers. Offline map tile bundle for field operators.</w:t>
      </w:r>
    </w:p>
    <w:p>
      <w:pPr>
        <w:pStyle w:val="ListParagraph"/>
        <w:numPr>
          <w:ilvl w:val="0"/>
          <w:numId w:val="2"/>
        </w:numPr>
        <w:spacing w:after="40" w:before="40" w:line="280"/>
      </w:pPr>
      <w:r>
        <w:rPr>
          <w:rFonts w:ascii="Arial" w:cs="Arial" w:eastAsia="Arial" w:hAnsi="Arial"/>
          <w:b/>
          <w:bCs/>
        </w:rPr>
        <w:t xml:space="preserve">On-prem single-artifact deploy: </w:t>
      </w:r>
      <w:r>
        <w:rPr>
          <w:rFonts w:ascii="Arial" w:cs="Arial" w:eastAsia="Arial" w:hAnsi="Arial"/>
        </w:rPr>
        <w:t xml:space="preserve">Helm chart + all images mirrored. Single k3s node up to 100 radios; three-node HA cluster up to 500.</w:t>
      </w:r>
    </w:p>
    <w:p>
      <w:pPr>
        <w:pStyle w:val="ListParagraph"/>
        <w:numPr>
          <w:ilvl w:val="0"/>
          <w:numId w:val="2"/>
        </w:numPr>
        <w:spacing w:after="40" w:before="40" w:line="280"/>
      </w:pPr>
      <w:r>
        <w:rPr>
          <w:rFonts w:ascii="Arial" w:cs="Arial" w:eastAsia="Arial" w:hAnsi="Arial"/>
          <w:b/>
          <w:bCs/>
        </w:rPr>
        <w:t xml:space="preserve">Advanced OTA: </w:t>
      </w:r>
      <w:r>
        <w:rPr>
          <w:rFonts w:ascii="Arial" w:cs="Arial" w:eastAsia="Arial" w:hAnsi="Arial"/>
        </w:rPr>
        <w:t xml:space="preserve">Delta updates. Dependency-aware ordering (mesh parents before children). Scheduled windows with operator-local timezone.</w:t>
      </w:r>
    </w:p>
    <w:p>
      <w:pPr>
        <w:pStyle w:val="ListParagraph"/>
        <w:numPr>
          <w:ilvl w:val="0"/>
          <w:numId w:val="2"/>
        </w:numPr>
        <w:spacing w:after="40" w:before="40" w:line="280"/>
      </w:pPr>
      <w:r>
        <w:rPr>
          <w:rFonts w:ascii="Arial" w:cs="Arial" w:eastAsia="Arial" w:hAnsi="Arial"/>
          <w:b/>
          <w:bCs/>
        </w:rPr>
        <w:t xml:space="preserve">Configuration policy-as-code: </w:t>
      </w:r>
      <w:r>
        <w:rPr>
          <w:rFonts w:ascii="Arial" w:cs="Arial" w:eastAsia="Arial" w:hAnsi="Arial"/>
        </w:rPr>
        <w:t xml:space="preserve">YAML-declared policies that block or warn on drift from an approved template. Git-backed.</w:t>
      </w:r>
    </w:p>
    <w:p>
      <w:pPr>
        <w:pStyle w:val="ListParagraph"/>
        <w:numPr>
          <w:ilvl w:val="0"/>
          <w:numId w:val="2"/>
        </w:numPr>
        <w:spacing w:after="40" w:before="40" w:line="280"/>
      </w:pPr>
      <w:r>
        <w:rPr>
          <w:rFonts w:ascii="Arial" w:cs="Arial" w:eastAsia="Arial" w:hAnsi="Arial"/>
          <w:b/>
          <w:bCs/>
        </w:rPr>
        <w:t xml:space="preserve">Bulk actions: </w:t>
      </w:r>
      <w:r>
        <w:rPr>
          <w:rFonts w:ascii="Arial" w:cs="Arial" w:eastAsia="Arial" w:hAnsi="Arial"/>
        </w:rPr>
        <w:t xml:space="preserve">Reboot, reconfigure, apply template, run diagnostic across a filter or a saved view.</w:t>
      </w:r>
    </w:p>
    <w:p>
      <w:pPr>
        <w:pStyle w:val="ListParagraph"/>
        <w:numPr>
          <w:ilvl w:val="0"/>
          <w:numId w:val="2"/>
        </w:numPr>
        <w:spacing w:after="40" w:before="40" w:line="280"/>
      </w:pPr>
      <w:r>
        <w:rPr>
          <w:rFonts w:ascii="Arial" w:cs="Arial" w:eastAsia="Arial" w:hAnsi="Arial"/>
          <w:b/>
          <w:bCs/>
        </w:rPr>
        <w:t xml:space="preserve">Reporting: </w:t>
      </w:r>
      <w:r>
        <w:rPr>
          <w:rFonts w:ascii="Arial" w:cs="Arial" w:eastAsia="Arial" w:hAnsi="Arial"/>
        </w:rPr>
        <w:t xml:space="preserve">PDF and CSV exports. Fleet health, firmware posture, OTA campaign summary, audit by user.</w:t>
      </w:r>
    </w:p>
    <w:p>
      <w:pPr>
        <w:pStyle w:val="Heading2"/>
        <w:spacing w:after="120" w:before="260"/>
      </w:pPr>
      <w:r>
        <w:rPr>
          <w:rFonts w:ascii="Arial" w:cs="Arial" w:eastAsia="Arial" w:hAnsi="Arial"/>
          <w:b/>
          <w:bCs/>
          <w:color w:val="0A5E9C"/>
          <w:sz w:val="26"/>
          <w:szCs w:val="26"/>
        </w:rPr>
        <w:t xml:space="preserve">4.3 Phase 3 — Analytics and Intelligence (Months 8–10)</w:t>
      </w:r>
    </w:p>
    <w:p>
      <w:pPr>
        <w:pStyle w:val="ListParagraph"/>
        <w:numPr>
          <w:ilvl w:val="0"/>
          <w:numId w:val="2"/>
        </w:numPr>
        <w:spacing w:after="40" w:before="40" w:line="280"/>
      </w:pPr>
      <w:r>
        <w:rPr>
          <w:rFonts w:ascii="Arial" w:cs="Arial" w:eastAsia="Arial" w:hAnsi="Arial"/>
          <w:b/>
          <w:bCs/>
        </w:rPr>
        <w:t xml:space="preserve">Link quality forecasting: </w:t>
      </w:r>
      <w:r>
        <w:rPr>
          <w:rFonts w:ascii="Arial" w:cs="Arial" w:eastAsia="Arial" w:hAnsi="Arial"/>
        </w:rPr>
        <w:t xml:space="preserve">Time-series models on QuestDB-stored SNR, PER, and throughput history. Predict degradation 15–60 min ahead. Surface in the fleet dashboard and alerting.</w:t>
      </w:r>
    </w:p>
    <w:p>
      <w:pPr>
        <w:pStyle w:val="ListParagraph"/>
        <w:numPr>
          <w:ilvl w:val="0"/>
          <w:numId w:val="2"/>
        </w:numPr>
        <w:spacing w:after="40" w:before="40" w:line="280"/>
      </w:pPr>
      <w:r>
        <w:rPr>
          <w:rFonts w:ascii="Arial" w:cs="Arial" w:eastAsia="Arial" w:hAnsi="Arial"/>
          <w:b/>
          <w:bCs/>
        </w:rPr>
        <w:t xml:space="preserve">Anomaly detection: </w:t>
      </w:r>
      <w:r>
        <w:rPr>
          <w:rFonts w:ascii="Arial" w:cs="Arial" w:eastAsia="Arial" w:hAnsi="Arial"/>
        </w:rPr>
        <w:t xml:space="preserve">Unsupervised (isolation forest, seasonal decomposition) on per-radio and per-link counters. Reduce alert noise versus threshold-based rules.</w:t>
      </w:r>
    </w:p>
    <w:p>
      <w:pPr>
        <w:pStyle w:val="ListParagraph"/>
        <w:numPr>
          <w:ilvl w:val="0"/>
          <w:numId w:val="2"/>
        </w:numPr>
        <w:spacing w:after="40" w:before="40" w:line="280"/>
      </w:pPr>
      <w:r>
        <w:rPr>
          <w:rFonts w:ascii="Arial" w:cs="Arial" w:eastAsia="Arial" w:hAnsi="Arial"/>
          <w:b/>
          <w:bCs/>
        </w:rPr>
        <w:t xml:space="preserve">Spectrum intelligence: </w:t>
      </w:r>
      <w:r>
        <w:rPr>
          <w:rFonts w:ascii="Arial" w:cs="Arial" w:eastAsia="Arial" w:hAnsi="Arial"/>
        </w:rPr>
        <w:t xml:space="preserve">Aggregate Sense band-scan history across a tenant's radios. Show interference heatmaps by time-of-day and location.</w:t>
      </w:r>
    </w:p>
    <w:p>
      <w:pPr>
        <w:pStyle w:val="ListParagraph"/>
        <w:numPr>
          <w:ilvl w:val="0"/>
          <w:numId w:val="2"/>
        </w:numPr>
        <w:spacing w:after="40" w:before="40" w:line="280"/>
      </w:pPr>
      <w:r>
        <w:rPr>
          <w:rFonts w:ascii="Arial" w:cs="Arial" w:eastAsia="Arial" w:hAnsi="Arial"/>
          <w:b/>
          <w:bCs/>
        </w:rPr>
        <w:t xml:space="preserve">Topology playback: </w:t>
      </w:r>
      <w:r>
        <w:rPr>
          <w:rFonts w:ascii="Arial" w:cs="Arial" w:eastAsia="Arial" w:hAnsi="Arial"/>
        </w:rPr>
        <w:t xml:space="preserve">Scrub through the last 24 hours / 7 days of network topology and link quality. Forensic incident reconstruction.</w:t>
      </w:r>
    </w:p>
    <w:p>
      <w:pPr>
        <w:pStyle w:val="ListParagraph"/>
        <w:numPr>
          <w:ilvl w:val="0"/>
          <w:numId w:val="2"/>
        </w:numPr>
        <w:spacing w:after="40" w:before="40" w:line="280"/>
      </w:pPr>
      <w:r>
        <w:rPr>
          <w:rFonts w:ascii="Arial" w:cs="Arial" w:eastAsia="Arial" w:hAnsi="Arial"/>
          <w:b/>
          <w:bCs/>
        </w:rPr>
        <w:t xml:space="preserve">Third-party integrations: </w:t>
      </w:r>
      <w:r>
        <w:rPr>
          <w:rFonts w:ascii="Arial" w:cs="Arial" w:eastAsia="Arial" w:hAnsi="Arial"/>
        </w:rPr>
        <w:t xml:space="preserve">Native exporters for Splunk, Datadog, Grafana Cloud, and a generic OTel endpoint. Webhook catalog.</w:t>
      </w:r>
    </w:p>
    <w:p>
      <w:pPr>
        <w:pStyle w:val="Heading2"/>
        <w:spacing w:after="120" w:before="260"/>
      </w:pPr>
      <w:r>
        <w:rPr>
          <w:rFonts w:ascii="Arial" w:cs="Arial" w:eastAsia="Arial" w:hAnsi="Arial"/>
          <w:b/>
          <w:bCs/>
          <w:color w:val="0A5E9C"/>
          <w:sz w:val="26"/>
          <w:szCs w:val="26"/>
        </w:rPr>
        <w:t xml:space="preserve">4.4 Phase 4 — Hardening, Certification, Scale (Months 11–12)</w:t>
      </w:r>
    </w:p>
    <w:p>
      <w:pPr>
        <w:pStyle w:val="ListParagraph"/>
        <w:numPr>
          <w:ilvl w:val="0"/>
          <w:numId w:val="2"/>
        </w:numPr>
        <w:spacing w:after="40" w:before="40" w:line="280"/>
      </w:pPr>
      <w:r>
        <w:rPr>
          <w:rFonts w:ascii="Arial" w:cs="Arial" w:eastAsia="Arial" w:hAnsi="Arial"/>
          <w:b/>
          <w:bCs/>
        </w:rPr>
        <w:t xml:space="preserve">SOC 2 Type I readiness: </w:t>
      </w:r>
      <w:r>
        <w:rPr>
          <w:rFonts w:ascii="Arial" w:cs="Arial" w:eastAsia="Arial" w:hAnsi="Arial"/>
        </w:rPr>
        <w:t xml:space="preserve">Control mapping, evidence collection, initial audit engagement. Target Type II in year two.</w:t>
      </w:r>
    </w:p>
    <w:p>
      <w:pPr>
        <w:pStyle w:val="ListParagraph"/>
        <w:numPr>
          <w:ilvl w:val="0"/>
          <w:numId w:val="2"/>
        </w:numPr>
        <w:spacing w:after="40" w:before="40" w:line="280"/>
      </w:pPr>
      <w:r>
        <w:rPr>
          <w:rFonts w:ascii="Arial" w:cs="Arial" w:eastAsia="Arial" w:hAnsi="Arial"/>
          <w:b/>
          <w:bCs/>
        </w:rPr>
        <w:t xml:space="preserve">Penetration test and remediation: </w:t>
      </w:r>
      <w:r>
        <w:rPr>
          <w:rFonts w:ascii="Arial" w:cs="Arial" w:eastAsia="Arial" w:hAnsi="Arial"/>
        </w:rPr>
        <w:t xml:space="preserve">External pen test of cloud SaaS and on-prem artifact. Public disclosure policy.</w:t>
      </w:r>
    </w:p>
    <w:p>
      <w:pPr>
        <w:pStyle w:val="ListParagraph"/>
        <w:numPr>
          <w:ilvl w:val="0"/>
          <w:numId w:val="2"/>
        </w:numPr>
        <w:spacing w:after="40" w:before="40" w:line="280"/>
      </w:pPr>
      <w:r>
        <w:rPr>
          <w:rFonts w:ascii="Arial" w:cs="Arial" w:eastAsia="Arial" w:hAnsi="Arial"/>
          <w:b/>
          <w:bCs/>
        </w:rPr>
        <w:t xml:space="preserve">Scale validation: </w:t>
      </w:r>
      <w:r>
        <w:rPr>
          <w:rFonts w:ascii="Arial" w:cs="Arial" w:eastAsia="Arial" w:hAnsi="Arial"/>
        </w:rPr>
        <w:t xml:space="preserve">Load-test each tenant tier to 2x its stated ceiling. Publish benchmark methodology.</w:t>
      </w:r>
    </w:p>
    <w:p>
      <w:pPr>
        <w:pStyle w:val="ListParagraph"/>
        <w:numPr>
          <w:ilvl w:val="0"/>
          <w:numId w:val="2"/>
        </w:numPr>
        <w:spacing w:after="40" w:before="40" w:line="280"/>
      </w:pPr>
      <w:r>
        <w:rPr>
          <w:rFonts w:ascii="Arial" w:cs="Arial" w:eastAsia="Arial" w:hAnsi="Arial"/>
          <w:b/>
          <w:bCs/>
        </w:rPr>
        <w:t xml:space="preserve">Disaster recovery drill: </w:t>
      </w:r>
      <w:r>
        <w:rPr>
          <w:rFonts w:ascii="Arial" w:cs="Arial" w:eastAsia="Arial" w:hAnsi="Arial"/>
        </w:rPr>
        <w:t xml:space="preserve">Documented RPO/RTO. Cross-region failover rehearsed. Backup and restore verified on cold infrastructure.</w:t>
      </w:r>
    </w:p>
    <w:p>
      <w:pPr>
        <w:pStyle w:val="ListParagraph"/>
        <w:numPr>
          <w:ilvl w:val="0"/>
          <w:numId w:val="2"/>
        </w:numPr>
        <w:spacing w:after="40" w:before="40" w:line="280"/>
      </w:pPr>
      <w:r>
        <w:rPr>
          <w:rFonts w:ascii="Arial" w:cs="Arial" w:eastAsia="Arial" w:hAnsi="Arial"/>
          <w:b/>
          <w:bCs/>
        </w:rPr>
        <w:t xml:space="preserve">Customer migration tooling: </w:t>
      </w:r>
      <w:r>
        <w:rPr>
          <w:rFonts w:ascii="Arial" w:cs="Arial" w:eastAsia="Arial" w:hAnsi="Arial"/>
        </w:rPr>
        <w:t xml:space="preserve">Import from competing NMS exports where practical (StreamScape XML, Meshmerize CSV). No import-tool promises beyond what we can actually build and test.</w:t>
      </w:r>
    </w:p>
    <w:p>
      <w:r>
        <w:br w:type="page"/>
      </w:r>
    </w:p>
    <w:p>
      <w:pPr>
        <w:pStyle w:val="Heading1"/>
        <w:spacing w:after="160" w:before="360"/>
      </w:pPr>
      <w:r>
        <w:rPr>
          <w:rFonts w:ascii="Arial" w:cs="Arial" w:eastAsia="Arial" w:hAnsi="Arial"/>
          <w:b/>
          <w:bCs/>
          <w:color w:val="083C63"/>
          <w:sz w:val="32"/>
          <w:szCs w:val="32"/>
        </w:rPr>
        <w:t xml:space="preserve">5. Non-Functional Requirements and SLOs</w:t>
      </w:r>
    </w:p>
    <w:p>
      <w:pPr>
        <w:spacing w:after="80" w:before="80" w:line="300"/>
      </w:pPr>
      <w:r>
        <w:rPr>
          <w:rFonts w:ascii="Arial" w:cs="Arial" w:eastAsia="Arial" w:hAnsi="Arial"/>
        </w:rPr>
        <w:t xml:space="preserve">The September 2025 document listed numbers without methodology. Every SLO below has a workload definition and a named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Dimension</w:t>
            </w:r>
          </w:p>
        </w:tc>
        <w:tc>
          <w:tcPr>
            <w:tcW w:type="dxa" w:w="32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How Measured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Scale (per tenant)</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500 Mesh Rider radios, 50 concurrent operator sessions, 5 million telemetry points per day.</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Synthetic load-generator deployed in CI. Matches observed customer shapes.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Configuration round-trip p95</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 2 seconds from Apply to on-radio commit confirmation.</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Measured across 50-radio test fleet, 10 iterations, reported with distribution.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Telemetry ingest p99 latency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 5 seconds from radio emission to QuestDB commit.</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Trace-ID end-to-end, OpenTelemetry spans.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API availability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99.9% monthly on SaaS cloud tier, excluding scheduled windows.</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Status page with synthetic probes from three regions.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OTA success rate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 99% per campaign on supported Mesh Rider firmware baseline; automatic rollback on failure.</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Per-campaign reporting and dashboard.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Radio agent footprint</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 8 MB RSS, ≤ 2.5 MB flash, ≤ 2% CPU steady-state on the smallest supported Mesh Rider SoC.</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CI benchmark on a physical RM-series radio test bench.</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dashboard LCP</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 2.5 s on a fleet of 200 radios, cold cache, 4G connection.</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Lighthouse CI and Vercel Analytics-equivalent in-cluster.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Tenant isolation</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Zero cross-tenant data leaks. Enforced at DB (RLS), application, and broker (per-tenant topic prefix + ACL).</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Automated negative-auth test suite in CI, plus annual pen test.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Security update SLA</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Critical CVE patched and deployed within 14 days; high within 30 days.</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Dependabot + Snyk + internal tracker; published SLA.</w:t>
            </w:r>
          </w:p>
        </w:tc>
      </w:tr>
    </w:tbl>
    <w:p>
      <w:pPr>
        <w:pStyle w:val="Heading2"/>
        <w:spacing w:after="120" w:before="260"/>
      </w:pPr>
      <w:r>
        <w:rPr>
          <w:rFonts w:ascii="Arial" w:cs="Arial" w:eastAsia="Arial" w:hAnsi="Arial"/>
          <w:b/>
          <w:bCs/>
          <w:color w:val="0A5E9C"/>
          <w:sz w:val="26"/>
          <w:szCs w:val="26"/>
        </w:rPr>
        <w:t xml:space="preserve">5.1 Security Architecture Summary</w:t>
      </w:r>
    </w:p>
    <w:p>
      <w:pPr>
        <w:pStyle w:val="ListParagraph"/>
        <w:numPr>
          <w:ilvl w:val="0"/>
          <w:numId w:val="2"/>
        </w:numPr>
        <w:spacing w:after="40" w:before="40" w:line="280"/>
      </w:pPr>
      <w:r>
        <w:rPr>
          <w:rFonts w:ascii="Arial" w:cs="Arial" w:eastAsia="Arial" w:hAnsi="Arial"/>
          <w:b/>
          <w:bCs/>
        </w:rPr>
        <w:t xml:space="preserve">Transport. </w:t>
      </w:r>
      <w:r>
        <w:rPr>
          <w:rFonts w:ascii="Arial" w:cs="Arial" w:eastAsia="Arial" w:hAnsi="Arial"/>
        </w:rPr>
        <w:t xml:space="preserve">TLS 1.3 everywhere. mTLS on the MQTT bus. Radios bound to a per-tenant intermediate CA.</w:t>
      </w:r>
    </w:p>
    <w:p>
      <w:pPr>
        <w:pStyle w:val="ListParagraph"/>
        <w:numPr>
          <w:ilvl w:val="0"/>
          <w:numId w:val="2"/>
        </w:numPr>
        <w:spacing w:after="40" w:before="40" w:line="280"/>
      </w:pPr>
      <w:r>
        <w:rPr>
          <w:rFonts w:ascii="Arial" w:cs="Arial" w:eastAsia="Arial" w:hAnsi="Arial"/>
          <w:b/>
          <w:bCs/>
        </w:rPr>
        <w:t xml:space="preserve">At rest. </w:t>
      </w:r>
      <w:r>
        <w:rPr>
          <w:rFonts w:ascii="Arial" w:cs="Arial" w:eastAsia="Arial" w:hAnsi="Arial"/>
        </w:rPr>
        <w:t xml:space="preserve">AES-256-GCM encryption for QuestDB and PostgreSQL volumes. Firmware artifacts encrypted in object store; signing keys in AWS KMS or a dedicated HashiCorp Vault.</w:t>
      </w:r>
    </w:p>
    <w:p>
      <w:pPr>
        <w:pStyle w:val="ListParagraph"/>
        <w:numPr>
          <w:ilvl w:val="0"/>
          <w:numId w:val="2"/>
        </w:numPr>
        <w:spacing w:after="40" w:before="40" w:line="280"/>
      </w:pPr>
      <w:r>
        <w:rPr>
          <w:rFonts w:ascii="Arial" w:cs="Arial" w:eastAsia="Arial" w:hAnsi="Arial"/>
          <w:b/>
          <w:bCs/>
        </w:rPr>
        <w:t xml:space="preserve">Identity. </w:t>
      </w:r>
      <w:r>
        <w:rPr>
          <w:rFonts w:ascii="Arial" w:cs="Arial" w:eastAsia="Arial" w:hAnsi="Arial"/>
        </w:rPr>
        <w:t xml:space="preserve">OIDC federation, SSO for enterprise tenants, WebAuthn-capable MFA for operator accounts. Service-to-service on short-lived JWTs.</w:t>
      </w:r>
    </w:p>
    <w:p>
      <w:pPr>
        <w:pStyle w:val="ListParagraph"/>
        <w:numPr>
          <w:ilvl w:val="0"/>
          <w:numId w:val="2"/>
        </w:numPr>
        <w:spacing w:after="40" w:before="40" w:line="280"/>
      </w:pPr>
      <w:r>
        <w:rPr>
          <w:rFonts w:ascii="Arial" w:cs="Arial" w:eastAsia="Arial" w:hAnsi="Arial"/>
          <w:b/>
          <w:bCs/>
        </w:rPr>
        <w:t xml:space="preserve">Audit. </w:t>
      </w:r>
      <w:r>
        <w:rPr>
          <w:rFonts w:ascii="Arial" w:cs="Arial" w:eastAsia="Arial" w:hAnsi="Arial"/>
        </w:rPr>
        <w:t xml:space="preserve">Every write is append-only to an audit table with operator ID, client IP, and before/after diff. Exportable for customer compliance.</w:t>
      </w:r>
    </w:p>
    <w:p>
      <w:pPr>
        <w:pStyle w:val="ListParagraph"/>
        <w:numPr>
          <w:ilvl w:val="0"/>
          <w:numId w:val="2"/>
        </w:numPr>
        <w:spacing w:after="40" w:before="40" w:line="280"/>
      </w:pPr>
      <w:r>
        <w:rPr>
          <w:rFonts w:ascii="Arial" w:cs="Arial" w:eastAsia="Arial" w:hAnsi="Arial"/>
          <w:b/>
          <w:bCs/>
        </w:rPr>
        <w:t xml:space="preserve">Supply chain. </w:t>
      </w:r>
      <w:r>
        <w:rPr>
          <w:rFonts w:ascii="Arial" w:cs="Arial" w:eastAsia="Arial" w:hAnsi="Arial"/>
        </w:rPr>
        <w:t xml:space="preserve">SLSA Level 3 build provenance. Sigstore-signed container images. SBOMs attached to every release. CVE scan gated in CI.</w:t>
      </w:r>
    </w:p>
    <w:p>
      <w:pPr>
        <w:pStyle w:val="ListParagraph"/>
        <w:numPr>
          <w:ilvl w:val="0"/>
          <w:numId w:val="2"/>
        </w:numPr>
        <w:spacing w:after="40" w:before="40" w:line="280"/>
      </w:pPr>
      <w:r>
        <w:rPr>
          <w:rFonts w:ascii="Arial" w:cs="Arial" w:eastAsia="Arial" w:hAnsi="Arial"/>
          <w:b/>
          <w:bCs/>
        </w:rPr>
        <w:t xml:space="preserve">Tenant isolation. </w:t>
      </w:r>
      <w:r>
        <w:rPr>
          <w:rFonts w:ascii="Arial" w:cs="Arial" w:eastAsia="Arial" w:hAnsi="Arial"/>
        </w:rPr>
        <w:t xml:space="preserve">PostgreSQL row-level security, MQTT per-tenant topic namespacing with EMQX ACL, dedicated Redis logical DB per tenant, S3 bucket prefix per tenant.</w:t>
      </w:r>
    </w:p>
    <w:p>
      <w:r>
        <w:br w:type="page"/>
      </w:r>
    </w:p>
    <w:p>
      <w:pPr>
        <w:pStyle w:val="Heading1"/>
        <w:spacing w:after="160" w:before="360"/>
      </w:pPr>
      <w:r>
        <w:rPr>
          <w:rFonts w:ascii="Arial" w:cs="Arial" w:eastAsia="Arial" w:hAnsi="Arial"/>
          <w:b/>
          <w:bCs/>
          <w:color w:val="083C63"/>
          <w:sz w:val="32"/>
          <w:szCs w:val="32"/>
        </w:rPr>
        <w:t xml:space="preserve">6. Delivery Plan</w:t>
      </w:r>
    </w:p>
    <w:p>
      <w:pPr>
        <w:pStyle w:val="Heading2"/>
        <w:spacing w:after="120" w:before="260"/>
      </w:pPr>
      <w:r>
        <w:rPr>
          <w:rFonts w:ascii="Arial" w:cs="Arial" w:eastAsia="Arial" w:hAnsi="Arial"/>
          <w:b/>
          <w:bCs/>
          <w:color w:val="0A5E9C"/>
          <w:sz w:val="26"/>
          <w:szCs w:val="26"/>
        </w:rPr>
        <w:t xml:space="preserve">6.1 Phased Roadmap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60"/>
        <w:gridCol w:w="2800"/>
      </w:tblGrid>
      <w:tr>
        <w:tc>
          <w:tcPr>
            <w:tcW w:type="dxa" w:w="14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Window</w:t>
            </w:r>
          </w:p>
        </w:tc>
        <w:tc>
          <w:tcPr>
            <w:tcW w:type="dxa" w:w="29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Primary Deliverables</w:t>
            </w:r>
          </w:p>
        </w:tc>
        <w:tc>
          <w:tcPr>
            <w:tcW w:type="dxa" w:w="28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Exit Criteria</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Phase 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Weeks 1–3</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Architecture sign-off, infra provisioning, CI/CD, on-radio agent skeleton, test bench of 10 radios.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First telemetry end-to-end; deploy-to-prod pipeline green; security review approved.</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Phase 1 — MVP</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Months 1–4</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dashboard, device registry, templates, OTA, alerting, audit, RBAC, API v1.</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Internal alpha on a 100-radio reference deployment; three friendly design-partner customers onboarded.</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Phase 2 — Extend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Months 5–7</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 plugin, desktop client, on-prem artifact, policy-as-code, bulk actions, reporting.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Five paying customers live; StreamScape feature-parity matrix filled at fleet tier; on-prem artifact shipped to a government customer.</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Phase 3 — Intelligence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Months 8–10</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Link quality forecasting, anomaly detection, spectrum intelligence, topology playback, integrations.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Analytics features validated against 90-day customer telemetry archives; at least one published customer case study.</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Phase 4 — Harden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Months 11–12</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SOC 2 Type I, pen test, DR drill, migration tooling, v1.0 GA.</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GA launch; SOC 2 Type I report in customer security review pack; public SLA published.</w:t>
            </w:r>
          </w:p>
        </w:tc>
      </w:tr>
    </w:tbl>
    <w:p>
      <w:pPr>
        <w:pStyle w:val="Heading2"/>
        <w:spacing w:after="120" w:before="260"/>
      </w:pPr>
      <w:r>
        <w:rPr>
          <w:rFonts w:ascii="Arial" w:cs="Arial" w:eastAsia="Arial" w:hAnsi="Arial"/>
          <w:b/>
          <w:bCs/>
          <w:color w:val="0A5E9C"/>
          <w:sz w:val="26"/>
          <w:szCs w:val="26"/>
        </w:rPr>
        <w:t xml:space="preserve">6.2 Team and Ownership</w:t>
      </w:r>
    </w:p>
    <w:p>
      <w:pPr>
        <w:spacing w:after="80" w:before="80" w:line="300"/>
      </w:pPr>
      <w:r>
        <w:rPr>
          <w:rFonts w:ascii="Arial" w:cs="Arial" w:eastAsia="Arial" w:hAnsi="Arial"/>
        </w:rPr>
        <w:t xml:space="preserve">The Sep 2025 plan of 9 FTE over 8 months was optimistic for the stack it proposed. For this scope with the stack above, the honest team shape is: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760"/>
      </w:tblGrid>
      <w:tr>
        <w:tc>
          <w:tcPr>
            <w:tcW w:type="dxa" w:w="28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FTE</w:t>
            </w:r>
          </w:p>
        </w:tc>
        <w:tc>
          <w:tcPr>
            <w:tcW w:type="dxa" w:w="47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Primary Ownership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Lead — AI &amp; Software (sponsor)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1.0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Architecture, technical direction, customer-facing technical conversations, Phase 3 ML lead.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Senior Backend (FastAPI, PostgreSQL, QuestDB)</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2.0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Fleet API, telemetry ingest, OTA orchestrator, tenant/RBAC service.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Senior Frontend (Next.js, React)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2.0 × 10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Web dashboard, desktop Tauri shell, shared design system.</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Android / ATAK engineer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1.0 × 6 mo (Phase 2)</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 plugin build. Previous ATAK-CIV experience essential.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Embedded / OpenWrt / Rust engineer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1.0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Fleet Agent, Mesh Rider OS integration, opkg packaging, radio test bench.</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DevOps / Platform engineer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1.0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Kubernetes, ArgoCD, EMQX cluster operations, observability, on-prem Helm chart.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ML engineer (Phase 3)</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1.0 × 4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Forecasting, anomaly detection, model lifecycle.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QA / SDET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1.0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Test harness, load-test framework, radio test bench automation.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Security engineer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0.5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Threat model, SOC 2 prep, pen test coordination, supply chain.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Technical PM</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1.0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Roadmap, sprint coordination, customer design-partner management.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Designer (UX/UI)</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0.5 × 12 mo</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Dashboard, ATAK plugin UI, design system.</w:t>
            </w:r>
          </w:p>
        </w:tc>
      </w:tr>
    </w:tbl>
    <w:p>
      <w:pPr>
        <w:spacing w:after="80" w:before="80" w:line="300"/>
      </w:pPr>
      <w:r>
        <w:rPr>
          <w:rFonts w:ascii="Arial" w:cs="Arial" w:eastAsia="Arial" w:hAnsi="Arial"/>
          <w:i/>
          <w:iCs/>
          <w:color w:val="5F6368"/>
        </w:rPr>
        <w:t xml:space="preserve">Effective total: 11.0–12.5 FTE over 12 months. That is bigger than the Sep 2025 plan. It is also what the scope actually requires.</w:t>
      </w:r>
    </w:p>
    <w:p>
      <w:pPr>
        <w:pStyle w:val="Heading2"/>
        <w:spacing w:after="120" w:before="260"/>
      </w:pPr>
      <w:r>
        <w:rPr>
          <w:rFonts w:ascii="Arial" w:cs="Arial" w:eastAsia="Arial" w:hAnsi="Arial"/>
          <w:b/>
          <w:bCs/>
          <w:color w:val="0A5E9C"/>
          <w:sz w:val="26"/>
          <w:szCs w:val="26"/>
        </w:rPr>
        <w:t xml:space="preserve">6.3 Dependencies and Assumptions</w:t>
      </w:r>
    </w:p>
    <w:p>
      <w:pPr>
        <w:pStyle w:val="ListParagraph"/>
        <w:numPr>
          <w:ilvl w:val="0"/>
          <w:numId w:val="2"/>
        </w:numPr>
        <w:spacing w:after="40" w:before="40" w:line="280"/>
      </w:pPr>
      <w:r>
        <w:rPr>
          <w:rFonts w:ascii="Arial" w:cs="Arial" w:eastAsia="Arial" w:hAnsi="Arial"/>
        </w:rPr>
        <w:t xml:space="preserve">Mesh Rider OS team publishes stable UCI schema for any new capabilities the agent consumes. Joint review gates this interface.</w:t>
      </w:r>
    </w:p>
    <w:p>
      <w:pPr>
        <w:pStyle w:val="ListParagraph"/>
        <w:numPr>
          <w:ilvl w:val="0"/>
          <w:numId w:val="2"/>
        </w:numPr>
        <w:spacing w:after="40" w:before="40" w:line="280"/>
      </w:pPr>
      <w:r>
        <w:rPr>
          <w:rFonts w:ascii="Arial" w:cs="Arial" w:eastAsia="Arial" w:hAnsi="Arial"/>
        </w:rPr>
        <w:t xml:space="preserve">Customer design partners commit to weekly working sessions in Phase 1 and Phase 2. At least two must be industrial or government.</w:t>
      </w:r>
    </w:p>
    <w:p>
      <w:pPr>
        <w:pStyle w:val="ListParagraph"/>
        <w:numPr>
          <w:ilvl w:val="0"/>
          <w:numId w:val="2"/>
        </w:numPr>
        <w:spacing w:after="40" w:before="40" w:line="280"/>
      </w:pPr>
      <w:r>
        <w:rPr>
          <w:rFonts w:ascii="Arial" w:cs="Arial" w:eastAsia="Arial" w:hAnsi="Arial"/>
        </w:rPr>
        <w:t xml:space="preserve">Doodle Labs operates the tenant CA and firmware-signing CA. Procurement of an HSM (AWS KMS custom key store, or a Thales Luna) is a line item.</w:t>
      </w:r>
    </w:p>
    <w:p>
      <w:pPr>
        <w:pStyle w:val="ListParagraph"/>
        <w:numPr>
          <w:ilvl w:val="0"/>
          <w:numId w:val="2"/>
        </w:numPr>
        <w:spacing w:after="40" w:before="40" w:line="280"/>
      </w:pPr>
      <w:r>
        <w:rPr>
          <w:rFonts w:ascii="Arial" w:cs="Arial" w:eastAsia="Arial" w:hAnsi="Arial"/>
        </w:rPr>
        <w:t xml:space="preserve">ATAK-CIV SDK versioning is tracked; we support the current and immediately previous major only, same as Silvus StreamScape.</w:t>
      </w:r>
    </w:p>
    <w:p>
      <w:pPr>
        <w:pStyle w:val="ListParagraph"/>
        <w:numPr>
          <w:ilvl w:val="0"/>
          <w:numId w:val="2"/>
        </w:numPr>
        <w:spacing w:after="40" w:before="40" w:line="280"/>
      </w:pPr>
      <w:r>
        <w:rPr>
          <w:rFonts w:ascii="Arial" w:cs="Arial" w:eastAsia="Arial" w:hAnsi="Arial"/>
        </w:rPr>
        <w:t xml:space="preserve">Cloud provider: AWS for SaaS production (or Azure if an existing relationship dictates); evaluated in Phase 0 finalization.</w:t>
      </w:r>
    </w:p>
    <w:p>
      <w:r>
        <w:br w:type="page"/>
      </w:r>
    </w:p>
    <w:p>
      <w:pPr>
        <w:pStyle w:val="Heading1"/>
        <w:spacing w:after="160" w:before="360"/>
      </w:pPr>
      <w:r>
        <w:rPr>
          <w:rFonts w:ascii="Arial" w:cs="Arial" w:eastAsia="Arial" w:hAnsi="Arial"/>
          <w:b/>
          <w:bCs/>
          <w:color w:val="083C63"/>
          <w:sz w:val="32"/>
          <w:szCs w:val="32"/>
        </w:rPr>
        <w:t xml:space="preserve">7. Risk Register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3960"/>
      </w:tblGrid>
      <w:tr>
        <w:tc>
          <w:tcPr>
            <w:tcW w:type="dxa" w:w="26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0A5E9C" w:val="clear"/>
            <w:tcMar>
              <w:top w:type="dxa" w:w="100"/>
              <w:left w:type="dxa" w:w="140"/>
              <w:bottom w:type="dxa" w:w="100"/>
              <w:right w:type="dxa" w:w="140"/>
            </w:tcMar>
          </w:tcPr>
          <w:p>
            <w:pPr>
              <w:spacing w:after="40" w:before="40" w:line="260"/>
              <w:jc w:val="left"/>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Silvus ships a StreamScape 6 with multi-tenant / SaaS before we reach GA.</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Phase 1 MVP on customer networks by month 4; public roadmap that positions multi-tenant ahead of Silvus; lean on open API and Mesh Rider exclusivity.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On-radio agent regresses Mesh Rider OS behavior or exceeds memory budget.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Physical radio test bench from week one. Agent deploy gated by CI benchmark. UCI operations strictly transactional with rollback.</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ATAK-CIV SDK breaking changes between releases.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Support only current and previous major. Track ATAK-CIV GitHub releases in CI. Budget 0.25 FTE for ongoing ATAK maintenance after Phase 2.</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Hiring senior ATAK-experienced Android engineer.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Start recruitment week one of Phase 1. Contractor backup via established TAK-ecosystem vendors (RIIS, TAK product center network).</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QuestDB operational maturity on the on-prem deployment path.</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Evaluate QuestDB Enterprise support contract for on-prem customers. Fallback path: TimescaleDB on PostgreSQL for on-prem only, at cost of additional schema work.</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Customer demands full StreamScape feature parity at GA, including FIPS 140-3.</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Position FIPS 140-3 and full crypto certification as Year 2 deliverable, not GA. Clear with design partners in Phase 0. Industrial / commercial scope agreed with sponsor excludes defense certification from this release.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Scope creep into defense-grade requirements driven by sales.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line="260"/>
              <w:jc w:val="left"/>
            </w:pPr>
            <w:r>
              <w:rPr>
                <w:rFonts w:ascii="Arial" w:cs="Arial" w:eastAsia="Arial" w:hAnsi="Arial"/>
                <w:b w:val="false"/>
                <w:bCs w:val="false"/>
                <w:color w:val="1A1A1A"/>
                <w:sz w:val="20"/>
                <w:szCs w:val="20"/>
              </w:rPr>
              <w:t xml:space="preserve">Written scope letter signed by Lead and sponsor. Defense-grade variant is a separately-scoped Year 2 program.</w:t>
            </w:r>
          </w:p>
        </w:tc>
      </w:tr>
    </w:tbl>
    <w:p>
      <w:r>
        <w:br w:type="page"/>
      </w:r>
    </w:p>
    <w:p>
      <w:pPr>
        <w:pStyle w:val="Heading1"/>
        <w:spacing w:after="160" w:before="360"/>
      </w:pPr>
      <w:r>
        <w:rPr>
          <w:rFonts w:ascii="Arial" w:cs="Arial" w:eastAsia="Arial" w:hAnsi="Arial"/>
          <w:b/>
          <w:bCs/>
          <w:color w:val="083C63"/>
          <w:sz w:val="32"/>
          <w:szCs w:val="32"/>
        </w:rPr>
        <w:t xml:space="preserve">8. Go-to-Market and Customer Validation</w:t>
      </w:r>
    </w:p>
    <w:p>
      <w:pPr>
        <w:spacing w:after="80" w:before="80" w:line="300"/>
      </w:pPr>
      <w:r>
        <w:rPr>
          <w:rFonts w:ascii="Arial" w:cs="Arial" w:eastAsia="Arial" w:hAnsi="Arial"/>
        </w:rPr>
        <w:t xml:space="preserve">A million-dollar engineering investment without a GTM plan is just a line item. The plan below is lightweight because GTM is Product Marketing's job, not mine — but I commit to these inputs from Engineering:</w:t>
      </w:r>
    </w:p>
    <w:p>
      <w:pPr>
        <w:pStyle w:val="ListParagraph"/>
        <w:numPr>
          <w:ilvl w:val="0"/>
          <w:numId w:val="2"/>
        </w:numPr>
        <w:spacing w:after="40" w:before="40" w:line="280"/>
      </w:pPr>
      <w:r>
        <w:rPr>
          <w:rFonts w:ascii="Arial" w:cs="Arial" w:eastAsia="Arial" w:hAnsi="Arial"/>
          <w:b/>
          <w:bCs/>
        </w:rPr>
        <w:t xml:space="preserve">Design partner program, Phase 1. </w:t>
      </w:r>
      <w:r>
        <w:rPr>
          <w:rFonts w:ascii="Arial" w:cs="Arial" w:eastAsia="Arial" w:hAnsi="Arial"/>
        </w:rPr>
        <w:t xml:space="preserve">Three named customers who get early-access tenants, direct Slack with the engineering team, and an explicit commitment to logo and testimonial use. At least two are existing Doodle Labs customers currently managing radios via LuCI or a home-grown script.</w:t>
      </w:r>
    </w:p>
    <w:p>
      <w:pPr>
        <w:pStyle w:val="ListParagraph"/>
        <w:numPr>
          <w:ilvl w:val="0"/>
          <w:numId w:val="2"/>
        </w:numPr>
        <w:spacing w:after="40" w:before="40" w:line="280"/>
      </w:pPr>
      <w:r>
        <w:rPr>
          <w:rFonts w:ascii="Arial" w:cs="Arial" w:eastAsia="Arial" w:hAnsi="Arial"/>
          <w:b/>
          <w:bCs/>
        </w:rPr>
        <w:t xml:space="preserve">Reference architectures, Phase 2. </w:t>
      </w:r>
      <w:r>
        <w:rPr>
          <w:rFonts w:ascii="Arial" w:cs="Arial" w:eastAsia="Arial" w:hAnsi="Arial"/>
        </w:rPr>
        <w:t xml:space="preserve">Published: (a) industrial AMR fleet in a single facility, (b) drone-swarm GCS with ATAK, (c) multi-site critical-infrastructure deployment. Each with a deployment guide and a published benchmark run.</w:t>
      </w:r>
    </w:p>
    <w:p>
      <w:pPr>
        <w:pStyle w:val="ListParagraph"/>
        <w:numPr>
          <w:ilvl w:val="0"/>
          <w:numId w:val="2"/>
        </w:numPr>
        <w:spacing w:after="40" w:before="40" w:line="280"/>
      </w:pPr>
      <w:r>
        <w:rPr>
          <w:rFonts w:ascii="Arial" w:cs="Arial" w:eastAsia="Arial" w:hAnsi="Arial"/>
          <w:b/>
          <w:bCs/>
        </w:rPr>
        <w:t xml:space="preserve">Integration partners. </w:t>
      </w:r>
      <w:r>
        <w:rPr>
          <w:rFonts w:ascii="Arial" w:cs="Arial" w:eastAsia="Arial" w:hAnsi="Arial"/>
        </w:rPr>
        <w:t xml:space="preserve">Direct OpenAPI-v1 integrations with: Auterion Mission Control (drones), ROS 2 Navigation Stack (robotics), and the TAK Server ecosystem. Published at Phase 2 exit.</w:t>
      </w:r>
    </w:p>
    <w:p>
      <w:pPr>
        <w:pStyle w:val="ListParagraph"/>
        <w:numPr>
          <w:ilvl w:val="0"/>
          <w:numId w:val="2"/>
        </w:numPr>
        <w:spacing w:after="40" w:before="40" w:line="280"/>
      </w:pPr>
      <w:r>
        <w:rPr>
          <w:rFonts w:ascii="Arial" w:cs="Arial" w:eastAsia="Arial" w:hAnsi="Arial"/>
          <w:b/>
          <w:bCs/>
        </w:rPr>
        <w:t xml:space="preserve">Competitive displacement kit. </w:t>
      </w:r>
      <w:r>
        <w:rPr>
          <w:rFonts w:ascii="Arial" w:cs="Arial" w:eastAsia="Arial" w:hAnsi="Arial"/>
        </w:rPr>
        <w:t xml:space="preserve">StreamScape-to-Fleet-NMS migration cookbook. Not a CSV-import lie; a real guide that acknowledges what moves cleanly and what requires rework.</w:t>
      </w:r>
    </w:p>
    <w:p>
      <w:r>
        <w:br w:type="page"/>
      </w:r>
    </w:p>
    <w:p>
      <w:pPr>
        <w:pStyle w:val="Heading1"/>
        <w:spacing w:after="160" w:before="360"/>
      </w:pPr>
      <w:r>
        <w:rPr>
          <w:rFonts w:ascii="Arial" w:cs="Arial" w:eastAsia="Arial" w:hAnsi="Arial"/>
          <w:b/>
          <w:bCs/>
          <w:color w:val="083C63"/>
          <w:sz w:val="32"/>
          <w:szCs w:val="32"/>
        </w:rPr>
        <w:t xml:space="preserve">9. Decision Matrix and Next Steps</w:t>
      </w:r>
    </w:p>
    <w:p>
      <w:pPr>
        <w:pStyle w:val="Heading2"/>
        <w:spacing w:after="120" w:before="260"/>
      </w:pPr>
      <w:r>
        <w:rPr>
          <w:rFonts w:ascii="Arial" w:cs="Arial" w:eastAsia="Arial" w:hAnsi="Arial"/>
          <w:b/>
          <w:bCs/>
          <w:color w:val="0A5E9C"/>
          <w:sz w:val="26"/>
          <w:szCs w:val="26"/>
        </w:rPr>
        <w:t xml:space="preserve">9.1 What a Sponsor Approval Unlocks</w:t>
      </w:r>
    </w:p>
    <w:p>
      <w:pPr>
        <w:pStyle w:val="ListParagraph"/>
        <w:numPr>
          <w:ilvl w:val="0"/>
          <w:numId w:val="3"/>
        </w:numPr>
        <w:spacing w:after="60" w:before="60" w:line="280"/>
      </w:pPr>
      <w:r>
        <w:rPr>
          <w:rFonts w:ascii="Arial" w:cs="Arial" w:eastAsia="Arial" w:hAnsi="Arial"/>
        </w:rPr>
        <w:t xml:space="preserve">Hiring green-light for 11–12 FTE across the roles in Section 6.2. Priority: Embedded/Rust, ATAK/Android, Senior Backend lead.</w:t>
      </w:r>
    </w:p>
    <w:p>
      <w:pPr>
        <w:pStyle w:val="ListParagraph"/>
        <w:numPr>
          <w:ilvl w:val="0"/>
          <w:numId w:val="3"/>
        </w:numPr>
        <w:spacing w:after="60" w:before="60" w:line="280"/>
      </w:pPr>
      <w:r>
        <w:rPr>
          <w:rFonts w:ascii="Arial" w:cs="Arial" w:eastAsia="Arial" w:hAnsi="Arial"/>
        </w:rPr>
        <w:t xml:space="preserve">Phase 0 infrastructure spend authorization: AWS landing zone, GitHub Actions runners, EMQX 5 license (open-source edition in Phase 0, commercial SLA in Phase 2), QuestDB Enterprise evaluation.</w:t>
      </w:r>
    </w:p>
    <w:p>
      <w:pPr>
        <w:pStyle w:val="ListParagraph"/>
        <w:numPr>
          <w:ilvl w:val="0"/>
          <w:numId w:val="3"/>
        </w:numPr>
        <w:spacing w:after="60" w:before="60" w:line="280"/>
      </w:pPr>
      <w:r>
        <w:rPr>
          <w:rFonts w:ascii="Arial" w:cs="Arial" w:eastAsia="Arial" w:hAnsi="Arial"/>
        </w:rPr>
        <w:t xml:space="preserve">Cross-functional commitment from the Mesh Rider OS team for joint UCI schema reviews and agent integration.</w:t>
      </w:r>
    </w:p>
    <w:p>
      <w:pPr>
        <w:pStyle w:val="ListParagraph"/>
        <w:numPr>
          <w:ilvl w:val="0"/>
          <w:numId w:val="3"/>
        </w:numPr>
        <w:spacing w:after="60" w:before="60" w:line="280"/>
      </w:pPr>
      <w:r>
        <w:rPr>
          <w:rFonts w:ascii="Arial" w:cs="Arial" w:eastAsia="Arial" w:hAnsi="Arial"/>
        </w:rPr>
        <w:t xml:space="preserve">Product Marketing engagement for design partner recruitment and positioning.</w:t>
      </w:r>
    </w:p>
    <w:p>
      <w:pPr>
        <w:pStyle w:val="Heading2"/>
        <w:spacing w:after="120" w:before="260"/>
      </w:pPr>
      <w:r>
        <w:rPr>
          <w:rFonts w:ascii="Arial" w:cs="Arial" w:eastAsia="Arial" w:hAnsi="Arial"/>
          <w:b/>
          <w:bCs/>
          <w:color w:val="0A5E9C"/>
          <w:sz w:val="26"/>
          <w:szCs w:val="26"/>
        </w:rPr>
        <w:t xml:space="preserve">9.2 Open Decisions Needed from the Sponsor</w:t>
      </w:r>
    </w:p>
    <w:p>
      <w:pPr>
        <w:pStyle w:val="ListParagraph"/>
        <w:numPr>
          <w:ilvl w:val="0"/>
          <w:numId w:val="2"/>
        </w:numPr>
        <w:spacing w:after="40" w:before="40" w:line="280"/>
      </w:pPr>
      <w:r>
        <w:rPr>
          <w:rFonts w:ascii="Arial" w:cs="Arial" w:eastAsia="Arial" w:hAnsi="Arial"/>
        </w:rPr>
        <w:t xml:space="preserve">Cloud provider: AWS or Azure. Default AWS unless existing relationship dictates Azure.</w:t>
      </w:r>
    </w:p>
    <w:p>
      <w:pPr>
        <w:pStyle w:val="ListParagraph"/>
        <w:numPr>
          <w:ilvl w:val="0"/>
          <w:numId w:val="2"/>
        </w:numPr>
        <w:spacing w:after="40" w:before="40" w:line="280"/>
      </w:pPr>
      <w:r>
        <w:rPr>
          <w:rFonts w:ascii="Arial" w:cs="Arial" w:eastAsia="Arial" w:hAnsi="Arial"/>
        </w:rPr>
        <w:t xml:space="preserve">SaaS pricing and packaging: per-radio-per-month, flat tiers, or hybrid. Drives metering requirements in Phase 1.</w:t>
      </w:r>
    </w:p>
    <w:p>
      <w:pPr>
        <w:pStyle w:val="ListParagraph"/>
        <w:numPr>
          <w:ilvl w:val="0"/>
          <w:numId w:val="2"/>
        </w:numPr>
        <w:spacing w:after="40" w:before="40" w:line="280"/>
      </w:pPr>
      <w:r>
        <w:rPr>
          <w:rFonts w:ascii="Arial" w:cs="Arial" w:eastAsia="Arial" w:hAnsi="Arial"/>
        </w:rPr>
        <w:t xml:space="preserve">Brand: ship under the "Mesh Rider" umbrella ("Mesh Rider Fleet") or under a new name. Default is Mesh Rider Fleet.</w:t>
      </w:r>
    </w:p>
    <w:p>
      <w:pPr>
        <w:pStyle w:val="ListParagraph"/>
        <w:numPr>
          <w:ilvl w:val="0"/>
          <w:numId w:val="2"/>
        </w:numPr>
        <w:spacing w:after="40" w:before="40" w:line="280"/>
      </w:pPr>
      <w:r>
        <w:rPr>
          <w:rFonts w:ascii="Arial" w:cs="Arial" w:eastAsia="Arial" w:hAnsi="Arial"/>
        </w:rPr>
        <w:t xml:space="preserve">On-prem licensing model: perpetual + maintenance, or annual subscription. Drives license enforcement in the on-prem agent.</w:t>
      </w:r>
    </w:p>
    <w:p>
      <w:pPr>
        <w:pStyle w:val="ListParagraph"/>
        <w:numPr>
          <w:ilvl w:val="0"/>
          <w:numId w:val="2"/>
        </w:numPr>
        <w:spacing w:after="40" w:before="40" w:line="280"/>
      </w:pPr>
      <w:r>
        <w:rPr>
          <w:rFonts w:ascii="Arial" w:cs="Arial" w:eastAsia="Arial" w:hAnsi="Arial"/>
        </w:rPr>
        <w:t xml:space="preserve">FIPS 140-3 scope decision: in Year 1 or deferred to Year 2. Currently proposed: Year 2.</w:t>
      </w:r>
    </w:p>
    <w:p>
      <w:pPr>
        <w:pStyle w:val="Heading2"/>
        <w:spacing w:after="120" w:before="260"/>
      </w:pPr>
      <w:r>
        <w:rPr>
          <w:rFonts w:ascii="Arial" w:cs="Arial" w:eastAsia="Arial" w:hAnsi="Arial"/>
          <w:b/>
          <w:bCs/>
          <w:color w:val="0A5E9C"/>
          <w:sz w:val="26"/>
          <w:szCs w:val="26"/>
        </w:rPr>
        <w:t xml:space="preserve">9.3 Week-One Actions on Approval</w:t>
      </w:r>
    </w:p>
    <w:p>
      <w:pPr>
        <w:pStyle w:val="ListParagraph"/>
        <w:numPr>
          <w:ilvl w:val="0"/>
          <w:numId w:val="3"/>
        </w:numPr>
        <w:spacing w:after="60" w:before="60" w:line="280"/>
      </w:pPr>
      <w:r>
        <w:rPr>
          <w:rFonts w:ascii="Arial" w:cs="Arial" w:eastAsia="Arial" w:hAnsi="Arial"/>
        </w:rPr>
        <w:t xml:space="preserve">Open recruitment for Embedded/Rust engineer (long lead) and ATAK Android engineer (long lead).</w:t>
      </w:r>
    </w:p>
    <w:p>
      <w:pPr>
        <w:pStyle w:val="ListParagraph"/>
        <w:numPr>
          <w:ilvl w:val="0"/>
          <w:numId w:val="3"/>
        </w:numPr>
        <w:spacing w:after="60" w:before="60" w:line="280"/>
      </w:pPr>
      <w:r>
        <w:rPr>
          <w:rFonts w:ascii="Arial" w:cs="Arial" w:eastAsia="Arial" w:hAnsi="Arial"/>
        </w:rPr>
        <w:t xml:space="preserve">Architecture review with Mesh Rider OS team on UCI interface surface and test bench hardware list.</w:t>
      </w:r>
    </w:p>
    <w:p>
      <w:pPr>
        <w:pStyle w:val="ListParagraph"/>
        <w:numPr>
          <w:ilvl w:val="0"/>
          <w:numId w:val="3"/>
        </w:numPr>
        <w:spacing w:after="60" w:before="60" w:line="280"/>
      </w:pPr>
      <w:r>
        <w:rPr>
          <w:rFonts w:ascii="Arial" w:cs="Arial" w:eastAsia="Arial" w:hAnsi="Arial"/>
        </w:rPr>
        <w:t xml:space="preserve">Design partner shortlist: three candidate customers from the existing Doodle Labs industrial and integrator accounts.</w:t>
      </w:r>
    </w:p>
    <w:p>
      <w:pPr>
        <w:pStyle w:val="ListParagraph"/>
        <w:numPr>
          <w:ilvl w:val="0"/>
          <w:numId w:val="3"/>
        </w:numPr>
        <w:spacing w:after="60" w:before="60" w:line="280"/>
      </w:pPr>
      <w:r>
        <w:rPr>
          <w:rFonts w:ascii="Arial" w:cs="Arial" w:eastAsia="Arial" w:hAnsi="Arial"/>
        </w:rPr>
        <w:t xml:space="preserve">Infrastructure landing zone provisioned in selected cloud. ArgoCD bootstrap. GitHub org, teams, and CI pipelines stood up.</w:t>
      </w:r>
    </w:p>
    <w:p>
      <w:pPr>
        <w:pStyle w:val="ListParagraph"/>
        <w:numPr>
          <w:ilvl w:val="0"/>
          <w:numId w:val="3"/>
        </w:numPr>
        <w:spacing w:after="60" w:before="60" w:line="280"/>
      </w:pPr>
      <w:r>
        <w:rPr>
          <w:rFonts w:ascii="Arial" w:cs="Arial" w:eastAsia="Arial" w:hAnsi="Arial"/>
        </w:rPr>
        <w:t xml:space="preserve">Telemetry and control-plane schema v0 drafted and reviewed with two candidate customers under NDA.</w:t>
      </w:r>
    </w:p>
    <w:p>
      <w:pPr>
        <w:pBdr>
          <w:bottom w:val="single" w:color="0A5E9C" w:sz="6" w:space="1"/>
        </w:pBdr>
        <w:spacing w:after="120" w:before="120"/>
      </w:pPr>
    </w:p>
    <w:p>
      <w:pPr>
        <w:spacing w:after="80" w:before="80" w:line="300"/>
      </w:pPr>
      <w:r>
        <w:rPr>
          <w:rFonts w:ascii="Arial" w:cs="Arial" w:eastAsia="Arial" w:hAnsi="Arial"/>
          <w:i/>
          <w:iCs/>
          <w:color w:val="5F6368"/>
        </w:rPr>
        <w:t xml:space="preserve">This document is Version 2.0. It supersedes the Sep 4, 2025 proposal. It is drafted to survive an engineering review, not to win an enthusiasm contest.</w:t>
      </w:r>
    </w:p>
    <w:p>
      <w:pPr>
        <w:spacing w:after="80" w:before="80" w:line="300"/>
      </w:pPr>
      <w:r>
        <w:rPr>
          <w:rFonts w:ascii="Arial" w:cs="Arial" w:eastAsia="Arial" w:hAnsi="Arial"/>
          <w:i/>
          <w:iCs/>
          <w:color w:val="5F6368"/>
        </w:rPr>
        <w:t xml:space="preserve">— Jabbir Basha Parlapati, Lead — AI &amp; Software Engineering, Doodle Labs. April 17, 2026.</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F6368"/>
        <w:sz w:val="16"/>
        <w:szCs w:val="16"/>
      </w:rPr>
      <w:t xml:space="preserve">Confidential — Doodle Labs Internal</w:t>
    </w:r>
    <w:r>
      <w:t xml:space="preserve">	</w:t>
    </w: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r>
      <w:rPr>
        <w:rFonts w:ascii="Arial" w:cs="Arial" w:eastAsia="Arial" w:hAnsi="Arial"/>
        <w:color w:val="5F6368"/>
        <w:sz w:val="16"/>
        <w:szCs w:val="16"/>
      </w:rPr>
      <w:t xml:space="preserve"> of </w:t>
    </w:r>
    <w:r>
      <w:rPr>
        <w:rFonts w:ascii="Arial" w:cs="Arial" w:eastAsia="Arial" w:hAnsi="Arial"/>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5E9C" w:sz="4" w:space="6"/>
      </w:pBdr>
      <w:jc w:val="left"/>
    </w:pPr>
    <w:r>
      <w:rPr>
        <w:rFonts w:ascii="Arial" w:cs="Arial" w:eastAsia="Arial" w:hAnsi="Arial"/>
        <w:color w:val="5F6368"/>
        <w:sz w:val="16"/>
        <w:szCs w:val="16"/>
      </w:rPr>
      <w:t xml:space="preserve">Doodle Labs · Mesh Rider Fleet NMS · Project Proposal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83C63"/>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A5E9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Rider Fleet NMS — Project Proposal v2.0</dc:title>
  <dc:creator>Doodle Labs</dc:creator>
  <dc:description>Cloud-first multi-tenant NMS proposal for the Doodle Labs Mesh Rider ecosystem.</dc:description>
  <cp:lastModifiedBy>Un-named</cp:lastModifiedBy>
  <cp:revision>1</cp:revision>
  <dcterms:created xsi:type="dcterms:W3CDTF">2026-04-16T21:12:06.101Z</dcterms:created>
  <dcterms:modified xsi:type="dcterms:W3CDTF">2026-04-16T21:12:06.102Z</dcterms:modified>
</cp:coreProperties>
</file>

<file path=docProps/custom.xml><?xml version="1.0" encoding="utf-8"?>
<Properties xmlns="http://schemas.openxmlformats.org/officeDocument/2006/custom-properties" xmlns:vt="http://schemas.openxmlformats.org/officeDocument/2006/docPropsVTypes"/>
</file>