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6"/>
        </w:rPr>
        <w:t>MUSTAQIL TA'LIM TOPSHIRIG'I</w:t>
      </w:r>
    </w:p>
    <w:p>
      <w:pPr>
        <w:spacing w:after="200"/>
        <w:jc w:val="center"/>
      </w:pPr>
      <w:r>
        <w:rPr>
          <w:b w:val="0"/>
          <w:i/>
          <w:sz w:val="22"/>
        </w:rPr>
        <w:t>Fan: Kolloid kimyo / Nanokimyo</w:t>
      </w:r>
    </w:p>
    <w:p>
      <w:pPr>
        <w:spacing w:after="200"/>
        <w:jc w:val="center"/>
      </w:pPr>
      <w:r>
        <w:rPr>
          <w:b/>
          <w:i w:val="0"/>
          <w:sz w:val="28"/>
        </w:rPr>
        <w:t>NANOKOLLOID SISTEMALARDA ZARRACHA O'LCHAMI, SHAKLI VA SIRT MODIFIKATSIYASINING FIZIK-KIMYOVIY XOSSALARGA TA'SIRI</w:t>
      </w:r>
    </w:p>
    <w:p>
      <w:pPr>
        <w:jc w:val="both"/>
      </w:pPr>
      <w:r>
        <w:rPr>
          <w:b/>
          <w:i w:val="0"/>
        </w:rPr>
        <w:t xml:space="preserve">Annotatsiya. </w:t>
      </w:r>
      <w:r>
        <w:rPr>
          <w:b w:val="0"/>
          <w:i w:val="0"/>
        </w:rPr>
        <w:t>Ishda nanokolloid sistemalarning (1–100 nm) asosiy fizik-kimyoviy xossalari — sirt energiyasi, eruvchanlik, optik, magnit, katalitik va reologik xususiyatlar hamda agregativ barqarorlik — zarracha o'lchami, geometrik shakli va sirt modifikatsiyasi nuqtayi nazaridan qisqa tahlil qilinadi. Gibbs–Tomson, Ostvald–Freyndlix, Stoks, Brus, Eynshteyn tenglamalari va DLVO nazariyasi asosida "tuzilma → xossa" bog'liqligi ko'rsatiladi; nazoratning instrumental usullari (DLS, ζ-potensial, TEM, XRD, UV-Vis, BET) umumlashtiriladi.</w:t>
      </w:r>
    </w:p>
    <w:p>
      <w:pPr>
        <w:jc w:val="both"/>
      </w:pPr>
      <w:r>
        <w:rPr>
          <w:b/>
          <w:i w:val="0"/>
        </w:rPr>
        <w:t xml:space="preserve">Kalit so'zlar: </w:t>
      </w:r>
      <w:r>
        <w:rPr>
          <w:b w:val="0"/>
          <w:i/>
        </w:rPr>
        <w:t>nanokolloid, solishtirma sirt, o'lcham effekti, anizotropiya, sirt modifikatsiyasi, ζ-potensial, DLVO, sterik stabilizatsiya.</w:t>
      </w:r>
    </w:p>
    <w:p>
      <w:pPr>
        <w:pStyle w:val="Heading1"/>
      </w:pPr>
      <w:r>
        <w:t>1. Kirish va mavzuning dolzarbligi</w:t>
      </w:r>
    </w:p>
    <w:p>
      <w:pPr>
        <w:jc w:val="both"/>
      </w:pPr>
      <w:r>
        <w:rPr>
          <w:b w:val="0"/>
          <w:i w:val="0"/>
        </w:rPr>
        <w:t>Nanokolloid sistemalar — dispers fazasi 1–100 nm o'lchamli zarrachalardan iborat ultramikrogeterogen sistemalardir. Ularning o'ziga xosligi shundaki, zarracha o'lchami kichrayishi bilan sirt atomlari ulushi keskin ortadi (10 nm da ≈ 20 %, 2 nm da ≈ 80 %), natijada xossalar moddaning kimyoviy tarkibidan emas, balki zarrachaning o'lchami, shakli va sirt holatidan boshqariladigan bo'lib qoladi. Shu sababli zamonaviy nanotexnologiyada "tarkib" emas, "tuzilma–xossa" paradigmasi ustuvor. Mavzuning dolzarbligi dori yetkazish tizimlari, geterogen kataliz, sensorlar, quyosh elementlari va suvni tozalash kabi sohalarda nazorat qilinadigan nanokolloidlarga bo'lgan talab bilan belgilanadi.</w:t>
      </w:r>
    </w:p>
    <w:p>
      <w:pPr>
        <w:pStyle w:val="Heading1"/>
      </w:pPr>
      <w:r>
        <w:t>2. Ishning maqsadi va vazifalari</w:t>
      </w:r>
    </w:p>
    <w:p>
      <w:pPr>
        <w:jc w:val="both"/>
      </w:pPr>
      <w:r>
        <w:rPr>
          <w:b/>
          <w:i w:val="0"/>
        </w:rPr>
        <w:t xml:space="preserve">Maqsad: </w:t>
      </w:r>
      <w:r>
        <w:rPr>
          <w:b w:val="0"/>
          <w:i w:val="0"/>
        </w:rPr>
        <w:t>nanokolloid zarrachalarning o'lchami, shakli va sirt modifikatsiyasi bilan ularning fizik-kimyoviy xossalari o'rtasidagi qonuniyatlarni tizimlashtirish.</w:t>
      </w:r>
    </w:p>
    <w:p>
      <w:pPr>
        <w:spacing w:after="40"/>
        <w:jc w:val="both"/>
      </w:pPr>
      <w:r>
        <w:rPr>
          <w:b/>
          <w:i w:val="0"/>
        </w:rPr>
        <w:t>Vazifalar:</w:t>
      </w:r>
    </w:p>
    <w:p>
      <w:pPr>
        <w:spacing w:after="40"/>
        <w:ind w:left="425" w:hanging="283"/>
        <w:jc w:val="both"/>
      </w:pPr>
      <w:r>
        <w:t xml:space="preserve">1. </w:t>
      </w:r>
      <w:r>
        <w:rPr>
          <w:b w:val="0"/>
          <w:i w:val="0"/>
        </w:rPr>
        <w:t>o'lcham effektining termodinamik va kinetik asoslarini yoritish;</w:t>
      </w:r>
    </w:p>
    <w:p>
      <w:pPr>
        <w:spacing w:after="40"/>
        <w:ind w:left="425" w:hanging="283"/>
        <w:jc w:val="both"/>
      </w:pPr>
      <w:r>
        <w:t xml:space="preserve">2. </w:t>
      </w:r>
      <w:r>
        <w:rPr>
          <w:b w:val="0"/>
          <w:i w:val="0"/>
        </w:rPr>
        <w:t>shakl anizotropiyasining optik, katalitik va reologik xossalarga ta'sirini ko'rsatish;</w:t>
      </w:r>
    </w:p>
    <w:p>
      <w:pPr>
        <w:spacing w:after="40"/>
        <w:ind w:left="425" w:hanging="283"/>
        <w:jc w:val="both"/>
      </w:pPr>
      <w:r>
        <w:t xml:space="preserve">3. </w:t>
      </w:r>
      <w:r>
        <w:rPr>
          <w:b w:val="0"/>
          <w:i w:val="0"/>
        </w:rPr>
        <w:t>sirt modifikatsiyasi mexanizmlarini (elektrostatik, sterik, elektrosterik) DLVO nazariyasi doirasida tahlil qilish;</w:t>
      </w:r>
    </w:p>
    <w:p>
      <w:pPr>
        <w:spacing w:after="40"/>
        <w:ind w:left="425" w:hanging="283"/>
        <w:jc w:val="both"/>
      </w:pPr>
      <w:r>
        <w:t xml:space="preserve">4. </w:t>
      </w:r>
      <w:r>
        <w:rPr>
          <w:b w:val="0"/>
          <w:i w:val="0"/>
        </w:rPr>
        <w:t>xossalarni nazorat qilishning instrumental usullarini umumlashtirish.</w:t>
      </w:r>
    </w:p>
    <w:p>
      <w:pPr>
        <w:pStyle w:val="Heading1"/>
      </w:pPr>
      <w:r>
        <w:t>3. Ishning rejasi</w:t>
      </w:r>
    </w:p>
    <w:p>
      <w:pPr>
        <w:spacing w:after="40"/>
        <w:ind w:left="425" w:hanging="283"/>
        <w:jc w:val="both"/>
      </w:pPr>
      <w:r>
        <w:t xml:space="preserve">1. </w:t>
      </w:r>
      <w:r>
        <w:rPr>
          <w:b/>
          <w:i w:val="0"/>
        </w:rPr>
        <w:t xml:space="preserve">Nanokolloid sistemalar: </w:t>
      </w:r>
      <w:r>
        <w:rPr>
          <w:b w:val="0"/>
          <w:i w:val="0"/>
        </w:rPr>
        <w:t>ta'rif, tasnif, solishtirma sirt va sirt energiyasi.</w:t>
      </w:r>
    </w:p>
    <w:p>
      <w:pPr>
        <w:spacing w:after="40"/>
        <w:ind w:left="425" w:hanging="283"/>
        <w:jc w:val="both"/>
      </w:pPr>
      <w:r>
        <w:t xml:space="preserve">2. </w:t>
      </w:r>
      <w:r>
        <w:rPr>
          <w:b/>
          <w:i w:val="0"/>
        </w:rPr>
        <w:t xml:space="preserve">Zarracha o'lchami effekti: </w:t>
      </w:r>
      <w:r>
        <w:rPr>
          <w:b w:val="0"/>
          <w:i w:val="0"/>
        </w:rPr>
        <w:t>termodinamika (Gibbs–Tomson, Ostvald–Freyndlix), kinetika (Broun harakati, sedimentatsiya), kvant-o'lcham va plazmon effektlari, superparamagnetizm.</w:t>
      </w:r>
    </w:p>
    <w:p>
      <w:pPr>
        <w:spacing w:after="40"/>
        <w:ind w:left="425" w:hanging="283"/>
        <w:jc w:val="both"/>
      </w:pPr>
      <w:r>
        <w:t xml:space="preserve">3. </w:t>
      </w:r>
      <w:r>
        <w:rPr>
          <w:b/>
          <w:i w:val="0"/>
        </w:rPr>
        <w:t xml:space="preserve">Zarracha shakli effekti: </w:t>
      </w:r>
      <w:r>
        <w:rPr>
          <w:b w:val="0"/>
          <w:i w:val="0"/>
        </w:rPr>
        <w:t>aspekt nisbati, kristall yuzalar, anizotrop optika, reologiya.</w:t>
      </w:r>
    </w:p>
    <w:p>
      <w:pPr>
        <w:spacing w:after="40"/>
        <w:ind w:left="425" w:hanging="283"/>
        <w:jc w:val="both"/>
      </w:pPr>
      <w:r>
        <w:t xml:space="preserve">4. </w:t>
      </w:r>
      <w:r>
        <w:rPr>
          <w:b/>
          <w:i w:val="0"/>
        </w:rPr>
        <w:t xml:space="preserve">Sirt modifikatsiyasi: </w:t>
      </w:r>
      <w:r>
        <w:rPr>
          <w:b w:val="0"/>
          <w:i w:val="0"/>
        </w:rPr>
        <w:t>DLVO, ζ-potensial, ligandlar va polimer qobiqlar, core–shell tuzilmalar.</w:t>
      </w:r>
    </w:p>
    <w:p>
      <w:pPr>
        <w:spacing w:after="40"/>
        <w:ind w:left="425" w:hanging="283"/>
        <w:jc w:val="both"/>
      </w:pPr>
      <w:r>
        <w:t xml:space="preserve">5. </w:t>
      </w:r>
      <w:r>
        <w:rPr>
          <w:b/>
          <w:i w:val="0"/>
        </w:rPr>
        <w:t xml:space="preserve">Tadqiqot usullari </w:t>
      </w:r>
      <w:r>
        <w:rPr>
          <w:b w:val="0"/>
          <w:i w:val="0"/>
        </w:rPr>
        <w:t>va amaliy qo'llanilishi.</w:t>
      </w:r>
    </w:p>
    <w:p>
      <w:pPr>
        <w:spacing w:after="40"/>
        <w:ind w:left="425" w:hanging="283"/>
        <w:jc w:val="both"/>
      </w:pPr>
      <w:r>
        <w:t xml:space="preserve">6. </w:t>
      </w:r>
      <w:r>
        <w:rPr>
          <w:b/>
          <w:i w:val="0"/>
        </w:rPr>
        <w:t>Xulosa.</w:t>
      </w:r>
      <w:r>
        <w:rPr>
          <w:b w:val="0"/>
          <w:i w:val="0"/>
        </w:rPr>
      </w:r>
    </w:p>
    <w:p>
      <w:pPr>
        <w:pStyle w:val="Heading1"/>
      </w:pPr>
      <w:r>
        <w:t>4. Asosiy qism</w:t>
      </w:r>
    </w:p>
    <w:p>
      <w:pPr>
        <w:pStyle w:val="Heading2"/>
      </w:pPr>
      <w:r>
        <w:t>4.1. Nanokolloid sistemalarning umumiy tavsifi</w:t>
      </w:r>
    </w:p>
    <w:p>
      <w:pPr>
        <w:spacing w:after="40"/>
        <w:jc w:val="both"/>
      </w:pPr>
      <w:r>
        <w:rPr>
          <w:b w:val="0"/>
          <w:i w:val="0"/>
        </w:rPr>
        <w:t>Sferik zarracha uchun solishtirma sirt (birlik massaga to'g'ri keladigan sirt) quyidagicha aniqlanadi:</w:t>
      </w:r>
    </w:p>
    <w:tbl>
      <w:tblPr>
        <w:tblW w:type="auto" w:w="0"/>
        <w:jc w:val="center"/>
        <w:tblLook w:firstColumn="1" w:firstRow="1" w:lastColumn="0" w:lastRow="0" w:noHBand="0" w:noVBand="1" w:val="04A0"/>
      </w:tblPr>
      <w:tblGrid>
        <w:gridCol w:w="4986"/>
        <w:gridCol w:w="4986"/>
      </w:tblGrid>
      <w:tr>
        <w:tc>
          <w:tcPr>
            <w:tcW w:type="dxa" w:w="8220"/>
          </w:tcPr>
          <w:p>
            <w:pPr>
              <w:spacing w:after="40" w:before="40"/>
              <w:jc w:val="center"/>
            </w:pPr>
            <m:oMath>
              <m:sSub>
                <m:e>
                  <m:r>
                    <m:t xml:space="preserve">S</m:t>
                  </m:r>
                </m:e>
                <m:sub>
                  <m:r>
                    <m:rPr>
                      <m:sty m:val="p"/>
                    </m:rPr>
                    <m:t xml:space="preserve">sol</m:t>
                  </m:r>
                </m:sub>
              </m:sSub>
              <m:r>
                <m:rPr>
                  <m:sty m:val="p"/>
                </m:rPr>
                <m:t xml:space="preserve"> = </m:t>
              </m:r>
              <m:f>
                <m:num>
                  <m:r>
                    <m:rPr>
                      <m:sty m:val="p"/>
                    </m:rPr>
                    <m:t xml:space="preserve">6</m:t>
                  </m:r>
                </m:num>
                <m:den>
                  <m:r>
                    <m:t xml:space="preserve">ρ</m:t>
                  </m:r>
                  <m:r>
                    <m:t xml:space="preserve">d</m:t>
                  </m:r>
                </m:den>
              </m:f>
            </m:oMath>
          </w:p>
        </w:tc>
        <w:tc>
          <w:tcPr>
            <w:tcW w:type="dxa" w:w="1134"/>
          </w:tcPr>
          <w:p>
            <w:pPr>
              <w:spacing w:after="40" w:before="40"/>
              <w:jc w:val="right"/>
            </w:pPr>
            <w:r>
              <w:t>(1)</w:t>
            </w:r>
          </w:p>
        </w:tc>
      </w:tr>
    </w:tbl>
    <w:p>
      <w:pPr>
        <w:spacing w:after="120"/>
        <w:jc w:val="both"/>
      </w:pPr>
      <w:r>
        <w:t xml:space="preserve">bu yerda </w:t>
      </w:r>
      <m:oMath>
        <m:r>
          <m:t xml:space="preserve">ρ</m:t>
        </m:r>
      </m:oMath>
      <w:r>
        <w:rPr>
          <w:b w:val="0"/>
          <w:i w:val="0"/>
        </w:rPr>
        <w:t xml:space="preserve"> — zarracha zichligi, </w:t>
      </w:r>
      <m:oMath>
        <m:r>
          <m:t xml:space="preserve">d</m:t>
        </m:r>
      </m:oMath>
      <w:r>
        <w:rPr>
          <w:b w:val="0"/>
          <w:i w:val="0"/>
        </w:rPr>
        <w:t xml:space="preserve"> — zarracha diametri.</w:t>
      </w:r>
    </w:p>
    <w:p>
      <w:pPr>
        <w:jc w:val="both"/>
      </w:pPr>
      <w:r>
        <w:rPr>
          <w:b w:val="0"/>
          <w:i w:val="0"/>
        </w:rPr>
        <w:t>Diametr 1 mkm dan 10 nm gacha kichraysa, solishtirma sirt 100 marta ortadi (Au uchun ≈ 0,3 → 31 m²/g). Sirt atomlarining koordinatsion to'yinmaganligi ortiqcha sirt Gibbs energiyasini yuzaga keltiradi:</w:t>
      </w:r>
    </w:p>
    <w:tbl>
      <w:tblPr>
        <w:tblW w:type="auto" w:w="0"/>
        <w:jc w:val="center"/>
        <w:tblLook w:firstColumn="1" w:firstRow="1" w:lastColumn="0" w:lastRow="0" w:noHBand="0" w:noVBand="1" w:val="04A0"/>
      </w:tblPr>
      <w:tblGrid>
        <w:gridCol w:w="4986"/>
        <w:gridCol w:w="4986"/>
      </w:tblGrid>
      <w:tr>
        <w:tc>
          <w:tcPr>
            <w:tcW w:type="dxa" w:w="8220"/>
          </w:tcPr>
          <w:p>
            <w:pPr>
              <w:spacing w:after="40" w:before="40"/>
              <w:jc w:val="center"/>
            </w:pPr>
            <m:oMath>
              <m:sSub>
                <m:e>
                  <m:r>
                    <m:t xml:space="preserve">G</m:t>
                  </m:r>
                </m:e>
                <m:sub>
                  <m:r>
                    <m:t xml:space="preserve">s</m:t>
                  </m:r>
                </m:sub>
              </m:sSub>
              <m:r>
                <m:rPr>
                  <m:sty m:val="p"/>
                </m:rPr>
                <m:t xml:space="preserve"> = </m:t>
              </m:r>
              <m:r>
                <m:t xml:space="preserve">σ</m:t>
              </m:r>
              <m:r>
                <m:rPr>
                  <m:sty m:val="p"/>
                </m:rPr>
                <m:t xml:space="preserve">·</m:t>
              </m:r>
              <m:r>
                <m:t xml:space="preserve">S</m:t>
              </m:r>
            </m:oMath>
          </w:p>
        </w:tc>
        <w:tc>
          <w:tcPr>
            <w:tcW w:type="dxa" w:w="1134"/>
          </w:tcPr>
          <w:p>
            <w:pPr>
              <w:spacing w:after="40" w:before="40"/>
              <w:jc w:val="right"/>
            </w:pPr>
            <w:r>
              <w:t>(2)</w:t>
            </w:r>
          </w:p>
        </w:tc>
      </w:tr>
    </w:tbl>
    <w:p>
      <w:pPr>
        <w:spacing w:after="120"/>
        <w:jc w:val="both"/>
      </w:pPr>
      <w:r>
        <w:t xml:space="preserve">bu yerda </w:t>
      </w:r>
      <m:oMath>
        <m:r>
          <m:t xml:space="preserve">σ</m:t>
        </m:r>
      </m:oMath>
      <w:r>
        <w:rPr>
          <w:b w:val="0"/>
          <w:i w:val="0"/>
        </w:rPr>
        <w:t xml:space="preserve"> — sirt tarangligi (solishtirma sirt energiyasi), </w:t>
      </w:r>
      <m:oMath>
        <m:r>
          <m:t xml:space="preserve">S</m:t>
        </m:r>
      </m:oMath>
      <w:r>
        <w:rPr>
          <w:b w:val="0"/>
          <w:i w:val="0"/>
        </w:rPr>
        <w:t xml:space="preserve"> — umumiy fazalararo sirt.</w:t>
      </w:r>
    </w:p>
    <w:p>
      <w:pPr>
        <w:jc w:val="both"/>
      </w:pPr>
      <w:r>
        <w:rPr>
          <w:b w:val="0"/>
          <w:i w:val="0"/>
        </w:rPr>
        <w:t>Aynan shu energiya nanokolloidlarning termodinamik beqarorligi (agregatsiya, Ostvald yetilishi) va yuqori reaksion qobiliyatining manbaidir: sistema o'z-o'zidan sirtni kamaytirishga intiladi.</w:t>
      </w:r>
    </w:p>
    <w:p>
      <w:pPr>
        <w:pStyle w:val="Heading2"/>
      </w:pPr>
      <w:r>
        <w:t>4.2. Zarracha o'lchamining ta'siri</w:t>
      </w:r>
    </w:p>
    <w:p>
      <w:pPr>
        <w:spacing w:after="40"/>
        <w:jc w:val="both"/>
      </w:pPr>
      <w:r>
        <w:rPr>
          <w:b/>
          <w:i w:val="0"/>
        </w:rPr>
        <w:t>Termodinamik o'lcham effektlari.</w:t>
      </w:r>
    </w:p>
    <w:p>
      <w:pPr>
        <w:jc w:val="both"/>
      </w:pPr>
      <w:r>
        <w:rPr>
          <w:b/>
          <w:i w:val="0"/>
        </w:rPr>
        <w:t xml:space="preserve">Eruvchanlik. </w:t>
      </w:r>
      <w:r>
        <w:rPr>
          <w:b w:val="0"/>
          <w:i w:val="0"/>
        </w:rPr>
        <w:t>Egri sirt ustidagi kimyoviy potensial yassi sirtdagidan yuqori bo'lgani uchun kichik zarrachaning eruvchanligi Ostvald–Freyndlix tenglamasi bo'yicha ortadi:</w:t>
      </w:r>
    </w:p>
    <w:tbl>
      <w:tblPr>
        <w:tblW w:type="auto" w:w="0"/>
        <w:jc w:val="center"/>
        <w:tblLook w:firstColumn="1" w:firstRow="1" w:lastColumn="0" w:lastRow="0" w:noHBand="0" w:noVBand="1" w:val="04A0"/>
      </w:tblPr>
      <w:tblGrid>
        <w:gridCol w:w="4986"/>
        <w:gridCol w:w="4986"/>
      </w:tblGrid>
      <w:tr>
        <w:tc>
          <w:tcPr>
            <w:tcW w:type="dxa" w:w="8220"/>
          </w:tcPr>
          <w:p>
            <w:pPr>
              <w:spacing w:after="40" w:before="40"/>
              <w:jc w:val="center"/>
            </w:pPr>
            <m:oMath>
              <m:r>
                <m:rPr>
                  <m:sty m:val="p"/>
                </m:rPr>
                <m:t xml:space="preserve">ln</m:t>
              </m:r>
              <m:f>
                <m:num>
                  <m:sSub>
                    <m:e>
                      <m:r>
                        <m:t xml:space="preserve">c</m:t>
                      </m:r>
                    </m:e>
                    <m:sub>
                      <m:r>
                        <m:t xml:space="preserve">r</m:t>
                      </m:r>
                    </m:sub>
                  </m:sSub>
                </m:num>
                <m:den>
                  <m:sSub>
                    <m:e>
                      <m:r>
                        <m:t xml:space="preserve">c</m:t>
                      </m:r>
                    </m:e>
                    <m:sub>
                      <m:r>
                        <m:t xml:space="preserve">∞</m:t>
                      </m:r>
                    </m:sub>
                  </m:sSub>
                </m:den>
              </m:f>
              <m:r>
                <m:rPr>
                  <m:sty m:val="p"/>
                </m:rPr>
                <m:t xml:space="preserve"> = </m:t>
              </m:r>
              <m:f>
                <m:num>
                  <m:r>
                    <m:rPr>
                      <m:sty m:val="p"/>
                    </m:rPr>
                    <m:t xml:space="preserve">2</m:t>
                  </m:r>
                  <m:r>
                    <m:t xml:space="preserve">σ</m:t>
                  </m:r>
                  <m:sSub>
                    <m:e>
                      <m:r>
                        <m:t xml:space="preserve">V</m:t>
                      </m:r>
                    </m:e>
                    <m:sub>
                      <m:r>
                        <m:t xml:space="preserve">m</m:t>
                      </m:r>
                    </m:sub>
                  </m:sSub>
                </m:num>
                <m:den>
                  <m:r>
                    <m:t xml:space="preserve">R</m:t>
                  </m:r>
                  <m:r>
                    <m:t xml:space="preserve">T</m:t>
                  </m:r>
                  <m:r>
                    <m:t xml:space="preserve">r</m:t>
                  </m:r>
                </m:den>
              </m:f>
            </m:oMath>
          </w:p>
        </w:tc>
        <w:tc>
          <w:tcPr>
            <w:tcW w:type="dxa" w:w="1134"/>
          </w:tcPr>
          <w:p>
            <w:pPr>
              <w:spacing w:after="40" w:before="40"/>
              <w:jc w:val="right"/>
            </w:pPr>
            <w:r>
              <w:t>(3)</w:t>
            </w:r>
          </w:p>
        </w:tc>
      </w:tr>
    </w:tbl>
    <w:p>
      <w:pPr>
        <w:spacing w:after="120"/>
        <w:jc w:val="both"/>
      </w:pPr>
      <w:r>
        <w:t xml:space="preserve">bu yerda </w:t>
      </w:r>
      <m:oMath>
        <m:sSub>
          <m:e>
            <m:r>
              <m:t xml:space="preserve">c</m:t>
            </m:r>
          </m:e>
          <m:sub>
            <m:r>
              <m:t xml:space="preserve">r</m:t>
            </m:r>
          </m:sub>
        </m:sSub>
      </m:oMath>
      <w:r>
        <w:rPr>
          <w:b w:val="0"/>
          <w:i w:val="0"/>
        </w:rPr>
        <w:t xml:space="preserve"> va </w:t>
      </w:r>
      <m:oMath>
        <m:sSub>
          <m:e>
            <m:r>
              <m:t xml:space="preserve">c</m:t>
            </m:r>
          </m:e>
          <m:sub>
            <m:r>
              <m:t xml:space="preserve">∞</m:t>
            </m:r>
          </m:sub>
        </m:sSub>
      </m:oMath>
      <w:r>
        <w:rPr>
          <w:b w:val="0"/>
          <w:i w:val="0"/>
        </w:rPr>
        <w:t xml:space="preserve"> — radiusi r bo'lgan zarracha va yassi sirt uchun eruvchanlik, </w:t>
      </w:r>
      <m:oMath>
        <m:sSub>
          <m:e>
            <m:r>
              <m:t xml:space="preserve">V</m:t>
            </m:r>
          </m:e>
          <m:sub>
            <m:r>
              <m:t xml:space="preserve">m</m:t>
            </m:r>
          </m:sub>
        </m:sSub>
      </m:oMath>
      <w:r>
        <w:rPr>
          <w:b w:val="0"/>
          <w:i w:val="0"/>
        </w:rPr>
        <w:t xml:space="preserve"> — molyar hajm, </w:t>
      </w:r>
      <m:oMath>
        <m:r>
          <m:t xml:space="preserve">r</m:t>
        </m:r>
      </m:oMath>
      <w:r>
        <w:rPr>
          <w:b w:val="0"/>
          <w:i w:val="0"/>
        </w:rPr>
        <w:t xml:space="preserve"> — zarracha radiusi.</w:t>
      </w:r>
    </w:p>
    <w:p>
      <w:pPr>
        <w:jc w:val="both"/>
      </w:pPr>
      <w:r>
        <w:rPr>
          <w:b w:val="0"/>
          <w:i w:val="0"/>
        </w:rPr>
        <w:t>Natijada polidispers sistemada kichik zarrachalar eriydi, yiriklari o'sadi — Ostvald yetilishi sodir bo'ladi.</w:t>
      </w:r>
    </w:p>
    <w:p>
      <w:pPr>
        <w:jc w:val="both"/>
      </w:pPr>
      <w:r>
        <w:rPr>
          <w:b/>
          <w:i w:val="0"/>
        </w:rPr>
        <w:t xml:space="preserve">Erish harorati. </w:t>
      </w:r>
      <w:r>
        <w:rPr>
          <w:b w:val="0"/>
          <w:i w:val="0"/>
        </w:rPr>
        <w:t>Gibbs–Tomson tenglamasiga ko'ra nanozarrachaning erish harorati massiv moddanikidan past bo'ladi:</w:t>
      </w:r>
    </w:p>
    <w:tbl>
      <w:tblPr>
        <w:tblW w:type="auto" w:w="0"/>
        <w:jc w:val="center"/>
        <w:tblLook w:firstColumn="1" w:firstRow="1" w:lastColumn="0" w:lastRow="0" w:noHBand="0" w:noVBand="1" w:val="04A0"/>
      </w:tblPr>
      <w:tblGrid>
        <w:gridCol w:w="4986"/>
        <w:gridCol w:w="4986"/>
      </w:tblGrid>
      <w:tr>
        <w:tc>
          <w:tcPr>
            <w:tcW w:type="dxa" w:w="8220"/>
          </w:tcPr>
          <w:p>
            <w:pPr>
              <w:spacing w:after="40" w:before="40"/>
              <w:jc w:val="center"/>
            </w:pPr>
            <m:oMath>
              <m:r>
                <m:t xml:space="preserve">Δ</m:t>
              </m:r>
              <m:sSub>
                <m:e>
                  <m:r>
                    <m:t xml:space="preserve">T</m:t>
                  </m:r>
                </m:e>
                <m:sub>
                  <m:r>
                    <m:t xml:space="preserve">m</m:t>
                  </m:r>
                </m:sub>
              </m:sSub>
              <m:r>
                <m:rPr>
                  <m:sty m:val="p"/>
                </m:rPr>
                <m:t xml:space="preserve"> = </m:t>
              </m:r>
              <m:sSubSup>
                <m:e>
                  <m:r>
                    <m:t xml:space="preserve">T</m:t>
                  </m:r>
                </m:e>
                <m:sub>
                  <m:r>
                    <m:t xml:space="preserve">m</m:t>
                  </m:r>
                </m:sub>
                <m:sup>
                  <m:r>
                    <m:t xml:space="preserve">∞</m:t>
                  </m:r>
                </m:sup>
              </m:sSubSup>
              <m:r>
                <m:rPr>
                  <m:sty m:val="p"/>
                </m:rPr>
                <m:t xml:space="preserve"> − </m:t>
              </m:r>
              <m:sSub>
                <m:e>
                  <m:r>
                    <m:t xml:space="preserve">T</m:t>
                  </m:r>
                </m:e>
                <m:sub>
                  <m:r>
                    <m:t xml:space="preserve">m</m:t>
                  </m:r>
                </m:sub>
              </m:sSub>
              <m:d>
                <m:dPr>
                  <m:begChr m:val="("/>
                  <m:endChr m:val=")"/>
                </m:dPr>
                <m:e>
                  <m:r>
                    <m:t xml:space="preserve">r</m:t>
                  </m:r>
                </m:e>
              </m:d>
              <m:r>
                <m:rPr>
                  <m:sty m:val="p"/>
                </m:rPr>
                <m:t xml:space="preserve"> = </m:t>
              </m:r>
              <m:f>
                <m:num>
                  <m:r>
                    <m:rPr>
                      <m:sty m:val="p"/>
                    </m:rPr>
                    <m:t xml:space="preserve">2</m:t>
                  </m:r>
                  <m:sSub>
                    <m:e>
                      <m:r>
                        <m:t xml:space="preserve">σ</m:t>
                      </m:r>
                    </m:e>
                    <m:sub>
                      <m:r>
                        <m:rPr>
                          <m:sty m:val="p"/>
                        </m:rPr>
                        <m:t xml:space="preserve">sl</m:t>
                      </m:r>
                    </m:sub>
                  </m:sSub>
                  <m:sSubSup>
                    <m:e>
                      <m:r>
                        <m:t xml:space="preserve">T</m:t>
                      </m:r>
                    </m:e>
                    <m:sub>
                      <m:r>
                        <m:t xml:space="preserve">m</m:t>
                      </m:r>
                    </m:sub>
                    <m:sup>
                      <m:r>
                        <m:t xml:space="preserve">∞</m:t>
                      </m:r>
                    </m:sup>
                  </m:sSubSup>
                </m:num>
                <m:den>
                  <m:r>
                    <m:t xml:space="preserve">Δ</m:t>
                  </m:r>
                  <m:sSub>
                    <m:e>
                      <m:r>
                        <m:t xml:space="preserve">H</m:t>
                      </m:r>
                    </m:e>
                    <m:sub>
                      <m:r>
                        <m:t xml:space="preserve">m</m:t>
                      </m:r>
                    </m:sub>
                  </m:sSub>
                  <m:sSub>
                    <m:e>
                      <m:r>
                        <m:t xml:space="preserve">ρ</m:t>
                      </m:r>
                    </m:e>
                    <m:sub>
                      <m:r>
                        <m:t xml:space="preserve">s</m:t>
                      </m:r>
                    </m:sub>
                  </m:sSub>
                  <m:r>
                    <m:t xml:space="preserve">r</m:t>
                  </m:r>
                </m:den>
              </m:f>
            </m:oMath>
          </w:p>
        </w:tc>
        <w:tc>
          <w:tcPr>
            <w:tcW w:type="dxa" w:w="1134"/>
          </w:tcPr>
          <w:p>
            <w:pPr>
              <w:spacing w:after="40" w:before="40"/>
              <w:jc w:val="right"/>
            </w:pPr>
            <w:r>
              <w:t>(4)</w:t>
            </w:r>
          </w:p>
        </w:tc>
      </w:tr>
    </w:tbl>
    <w:p>
      <w:pPr>
        <w:spacing w:after="120"/>
        <w:jc w:val="both"/>
      </w:pPr>
      <w:r>
        <w:t xml:space="preserve">bu yerda </w:t>
      </w:r>
      <m:oMath>
        <m:sSubSup>
          <m:e>
            <m:r>
              <m:t xml:space="preserve">T</m:t>
            </m:r>
          </m:e>
          <m:sub>
            <m:r>
              <m:t xml:space="preserve">m</m:t>
            </m:r>
          </m:sub>
          <m:sup>
            <m:r>
              <m:t xml:space="preserve">∞</m:t>
            </m:r>
          </m:sup>
        </m:sSubSup>
      </m:oMath>
      <w:r>
        <w:rPr>
          <w:b w:val="0"/>
          <w:i w:val="0"/>
        </w:rPr>
        <w:t xml:space="preserve"> — massiv modda erish harorati, </w:t>
      </w:r>
      <m:oMath>
        <m:sSub>
          <m:e>
            <m:r>
              <m:t xml:space="preserve">σ</m:t>
            </m:r>
          </m:e>
          <m:sub>
            <m:r>
              <m:rPr>
                <m:sty m:val="p"/>
              </m:rPr>
              <m:t xml:space="preserve">sl</m:t>
            </m:r>
          </m:sub>
        </m:sSub>
      </m:oMath>
      <w:r>
        <w:rPr>
          <w:b w:val="0"/>
          <w:i w:val="0"/>
        </w:rPr>
        <w:t xml:space="preserve"> — qattiq–suyuqlik sirt tarangligi, </w:t>
      </w:r>
      <m:oMath>
        <m:r>
          <m:t xml:space="preserve">Δ</m:t>
        </m:r>
        <m:sSub>
          <m:e>
            <m:r>
              <m:t xml:space="preserve">H</m:t>
            </m:r>
          </m:e>
          <m:sub>
            <m:r>
              <m:t xml:space="preserve">m</m:t>
            </m:r>
          </m:sub>
        </m:sSub>
      </m:oMath>
      <w:r>
        <w:rPr>
          <w:b w:val="0"/>
          <w:i w:val="0"/>
        </w:rPr>
        <w:t xml:space="preserve"> — solishtirma erish issiqligi.</w:t>
      </w:r>
    </w:p>
    <w:p>
      <w:pPr>
        <w:jc w:val="both"/>
      </w:pPr>
      <w:r>
        <w:rPr>
          <w:b w:val="0"/>
          <w:i w:val="0"/>
        </w:rPr>
        <w:t>Masalan, 2–3 nm li Au zarrachalar ≈ 600 K da eriydi (massiv Au: 1337 K).</w:t>
      </w:r>
    </w:p>
    <w:p>
      <w:pPr>
        <w:spacing w:after="40"/>
        <w:jc w:val="both"/>
      </w:pPr>
      <w:r>
        <w:rPr>
          <w:b/>
          <w:i w:val="0"/>
        </w:rPr>
        <w:t>Kinetik o'lcham effektlari.</w:t>
      </w:r>
    </w:p>
    <w:p>
      <w:pPr>
        <w:jc w:val="both"/>
      </w:pPr>
      <w:r>
        <w:rPr>
          <w:b/>
          <w:i w:val="0"/>
        </w:rPr>
        <w:t xml:space="preserve">Sedimentatsiya va Broun harakati. </w:t>
      </w:r>
      <w:r>
        <w:rPr>
          <w:b w:val="0"/>
          <w:i w:val="0"/>
        </w:rPr>
        <w:t>Stoks qonuniga ko'ra cho'kish tezligi radius kvadratiga, Stoks–Eynshteyn tenglamasiga ko'ra diffuziya koeffitsienti esa radiusga teskari proporsional:</w:t>
      </w:r>
    </w:p>
    <w:tbl>
      <w:tblPr>
        <w:tblW w:type="auto" w:w="0"/>
        <w:jc w:val="center"/>
        <w:tblLook w:firstColumn="1" w:firstRow="1" w:lastColumn="0" w:lastRow="0" w:noHBand="0" w:noVBand="1" w:val="04A0"/>
      </w:tblPr>
      <w:tblGrid>
        <w:gridCol w:w="4986"/>
        <w:gridCol w:w="4986"/>
      </w:tblGrid>
      <w:tr>
        <w:tc>
          <w:tcPr>
            <w:tcW w:type="dxa" w:w="8220"/>
          </w:tcPr>
          <w:p>
            <w:pPr>
              <w:spacing w:after="40" w:before="40"/>
              <w:jc w:val="center"/>
            </w:pPr>
            <m:oMath>
              <m:r>
                <m:t xml:space="preserve">v</m:t>
              </m:r>
              <m:r>
                <m:rPr>
                  <m:sty m:val="p"/>
                </m:rPr>
                <m:t xml:space="preserve"> = </m:t>
              </m:r>
              <m:f>
                <m:num>
                  <m:r>
                    <m:rPr>
                      <m:sty m:val="p"/>
                    </m:rPr>
                    <m:t xml:space="preserve">2</m:t>
                  </m:r>
                  <m:sSup>
                    <m:e>
                      <m:r>
                        <m:t xml:space="preserve">r</m:t>
                      </m:r>
                    </m:e>
                    <m:sup>
                      <m:r>
                        <m:rPr>
                          <m:sty m:val="p"/>
                        </m:rPr>
                        <m:t xml:space="preserve">2</m:t>
                      </m:r>
                    </m:sup>
                  </m:sSup>
                  <m:d>
                    <m:dPr>
                      <m:begChr m:val="("/>
                      <m:endChr m:val=")"/>
                    </m:dPr>
                    <m:e>
                      <m:r>
                        <m:t xml:space="preserve">ρ</m:t>
                      </m:r>
                      <m:r>
                        <m:rPr>
                          <m:sty m:val="p"/>
                        </m:rPr>
                        <m:t xml:space="preserve"> − </m:t>
                      </m:r>
                      <m:sSub>
                        <m:e>
                          <m:r>
                            <m:t xml:space="preserve">ρ</m:t>
                          </m:r>
                        </m:e>
                        <m:sub>
                          <m:r>
                            <m:rPr>
                              <m:sty m:val="p"/>
                            </m:rPr>
                            <m:t xml:space="preserve">0</m:t>
                          </m:r>
                        </m:sub>
                      </m:sSub>
                    </m:e>
                  </m:d>
                  <m:r>
                    <m:t xml:space="preserve">g</m:t>
                  </m:r>
                </m:num>
                <m:den>
                  <m:r>
                    <m:rPr>
                      <m:sty m:val="p"/>
                    </m:rPr>
                    <m:t xml:space="preserve">9</m:t>
                  </m:r>
                  <m:r>
                    <m:t xml:space="preserve">η</m:t>
                  </m:r>
                </m:den>
              </m:f>
            </m:oMath>
          </w:p>
        </w:tc>
        <w:tc>
          <w:tcPr>
            <w:tcW w:type="dxa" w:w="1134"/>
          </w:tcPr>
          <w:p>
            <w:pPr>
              <w:spacing w:after="40" w:before="40"/>
              <w:jc w:val="right"/>
            </w:pPr>
            <w:r>
              <w:t>(5)</w:t>
            </w:r>
          </w:p>
        </w:tc>
      </w:tr>
    </w:tbl>
    <w:tbl>
      <w:tblPr>
        <w:tblW w:type="auto" w:w="0"/>
        <w:jc w:val="center"/>
        <w:tblLook w:firstColumn="1" w:firstRow="1" w:lastColumn="0" w:lastRow="0" w:noHBand="0" w:noVBand="1" w:val="04A0"/>
      </w:tblPr>
      <w:tblGrid>
        <w:gridCol w:w="4986"/>
        <w:gridCol w:w="4986"/>
      </w:tblGrid>
      <w:tr>
        <w:tc>
          <w:tcPr>
            <w:tcW w:type="dxa" w:w="8220"/>
          </w:tcPr>
          <w:p>
            <w:pPr>
              <w:spacing w:after="40" w:before="40"/>
              <w:jc w:val="center"/>
            </w:pPr>
            <m:oMath>
              <m:r>
                <m:t xml:space="preserve">D</m:t>
              </m:r>
              <m:r>
                <m:rPr>
                  <m:sty m:val="p"/>
                </m:rPr>
                <m:t xml:space="preserve"> = </m:t>
              </m:r>
              <m:f>
                <m:num>
                  <m:sSub>
                    <m:e>
                      <m:r>
                        <m:t xml:space="preserve">k</m:t>
                      </m:r>
                    </m:e>
                    <m:sub>
                      <m:r>
                        <m:rPr>
                          <m:sty m:val="p"/>
                        </m:rPr>
                        <m:t xml:space="preserve">B</m:t>
                      </m:r>
                    </m:sub>
                  </m:sSub>
                  <m:r>
                    <m:t xml:space="preserve">T</m:t>
                  </m:r>
                </m:num>
                <m:den>
                  <m:r>
                    <m:rPr>
                      <m:sty m:val="p"/>
                    </m:rPr>
                    <m:t xml:space="preserve">6</m:t>
                  </m:r>
                  <m:r>
                    <m:t xml:space="preserve">π</m:t>
                  </m:r>
                  <m:r>
                    <m:t xml:space="preserve">η</m:t>
                  </m:r>
                  <m:r>
                    <m:t xml:space="preserve">r</m:t>
                  </m:r>
                </m:den>
              </m:f>
            </m:oMath>
          </w:p>
        </w:tc>
        <w:tc>
          <w:tcPr>
            <w:tcW w:type="dxa" w:w="1134"/>
          </w:tcPr>
          <w:p>
            <w:pPr>
              <w:spacing w:after="40" w:before="40"/>
              <w:jc w:val="right"/>
            </w:pPr>
            <w:r>
              <w:t>(6)</w:t>
            </w:r>
          </w:p>
        </w:tc>
      </w:tr>
    </w:tbl>
    <w:p>
      <w:pPr>
        <w:spacing w:after="120"/>
        <w:jc w:val="both"/>
      </w:pPr>
      <w:r>
        <w:t xml:space="preserve">bu yerda </w:t>
      </w:r>
      <m:oMath>
        <m:r>
          <m:t xml:space="preserve">η</m:t>
        </m:r>
      </m:oMath>
      <w:r>
        <w:rPr>
          <w:b w:val="0"/>
          <w:i w:val="0"/>
        </w:rPr>
        <w:t xml:space="preserve"> — dispers muhit qovushqoqligi, </w:t>
      </w:r>
      <m:oMath>
        <m:sSub>
          <m:e>
            <m:r>
              <m:t xml:space="preserve">ρ</m:t>
            </m:r>
          </m:e>
          <m:sub>
            <m:r>
              <m:rPr>
                <m:sty m:val="p"/>
              </m:rPr>
              <m:t xml:space="preserve">0</m:t>
            </m:r>
          </m:sub>
        </m:sSub>
      </m:oMath>
      <w:r>
        <w:rPr>
          <w:b w:val="0"/>
          <w:i w:val="0"/>
        </w:rPr>
        <w:t xml:space="preserve"> — muhit zichligi, </w:t>
      </w:r>
      <m:oMath>
        <m:sSub>
          <m:e>
            <m:r>
              <m:t xml:space="preserve">k</m:t>
            </m:r>
          </m:e>
          <m:sub>
            <m:r>
              <m:rPr>
                <m:sty m:val="p"/>
              </m:rPr>
              <m:t xml:space="preserve">B</m:t>
            </m:r>
          </m:sub>
        </m:sSub>
      </m:oMath>
      <w:r>
        <w:rPr>
          <w:b w:val="0"/>
          <w:i w:val="0"/>
        </w:rPr>
        <w:t xml:space="preserve"> — Bolsman doimiysi.</w:t>
      </w:r>
    </w:p>
    <w:p>
      <w:pPr>
        <w:jc w:val="both"/>
      </w:pPr>
      <w:r>
        <w:rPr>
          <w:b w:val="0"/>
          <w:i w:val="0"/>
        </w:rPr>
        <w:t>10 nm li zarrachalar uchun Broun harakati gravitatsiyadan ustun bo'lgani uchun sistema kinetik jihatdan cho'kmaydi (sedimentatsion barqaror).</w:t>
      </w:r>
    </w:p>
    <w:p>
      <w:pPr>
        <w:spacing w:after="40"/>
        <w:jc w:val="both"/>
      </w:pPr>
      <w:r>
        <w:rPr>
          <w:b/>
          <w:i w:val="0"/>
        </w:rPr>
        <w:t>Kvant va kollektiv effektlar.</w:t>
      </w:r>
    </w:p>
    <w:p>
      <w:pPr>
        <w:jc w:val="both"/>
      </w:pPr>
      <w:r>
        <w:rPr>
          <w:b/>
          <w:i w:val="0"/>
        </w:rPr>
        <w:t xml:space="preserve">Kvant-o'lcham effekti. </w:t>
      </w:r>
      <w:r>
        <w:rPr>
          <w:b w:val="0"/>
          <w:i w:val="0"/>
        </w:rPr>
        <w:t>Yarimo'tkazgich kvant nuqtalarda (CdSe, 2–8 nm) zarracha radiusi eksiton Bor radiusidan kichik bo'lsa, taqiqlangan zona kengligi Brus tenglamasi bo'yicha ortadi:</w:t>
      </w:r>
    </w:p>
    <w:tbl>
      <w:tblPr>
        <w:tblW w:type="auto" w:w="0"/>
        <w:jc w:val="center"/>
        <w:tblLook w:firstColumn="1" w:firstRow="1" w:lastColumn="0" w:lastRow="0" w:noHBand="0" w:noVBand="1" w:val="04A0"/>
      </w:tblPr>
      <w:tblGrid>
        <w:gridCol w:w="4986"/>
        <w:gridCol w:w="4986"/>
      </w:tblGrid>
      <w:tr>
        <w:tc>
          <w:tcPr>
            <w:tcW w:type="dxa" w:w="8220"/>
          </w:tcPr>
          <w:p>
            <w:pPr>
              <w:spacing w:after="40" w:before="40"/>
              <w:jc w:val="center"/>
            </w:pPr>
            <m:oMath>
              <m:sSub>
                <m:e>
                  <m:r>
                    <m:t xml:space="preserve">E</m:t>
                  </m:r>
                </m:e>
                <m:sub>
                  <m:r>
                    <m:t xml:space="preserve">g</m:t>
                  </m:r>
                </m:sub>
              </m:sSub>
              <m:d>
                <m:dPr>
                  <m:begChr m:val="("/>
                  <m:endChr m:val=")"/>
                </m:dPr>
                <m:e>
                  <m:r>
                    <m:t xml:space="preserve">r</m:t>
                  </m:r>
                </m:e>
              </m:d>
              <m:r>
                <m:rPr>
                  <m:sty m:val="p"/>
                </m:rPr>
                <m:t xml:space="preserve"> = </m:t>
              </m:r>
              <m:sSubSup>
                <m:e>
                  <m:r>
                    <m:t xml:space="preserve">E</m:t>
                  </m:r>
                </m:e>
                <m:sub>
                  <m:r>
                    <m:t xml:space="preserve">g</m:t>
                  </m:r>
                </m:sub>
                <m:sup>
                  <m:r>
                    <m:rPr>
                      <m:sty m:val="p"/>
                    </m:rPr>
                    <m:t xml:space="preserve">bulk</m:t>
                  </m:r>
                </m:sup>
              </m:sSubSup>
              <m:r>
                <m:rPr>
                  <m:sty m:val="p"/>
                </m:rPr>
                <m:t xml:space="preserve"> + </m:t>
              </m:r>
              <m:f>
                <m:num>
                  <m:sSup>
                    <m:e>
                      <m:r>
                        <m:t xml:space="preserve">ħ</m:t>
                      </m:r>
                    </m:e>
                    <m:sup>
                      <m:r>
                        <m:rPr>
                          <m:sty m:val="p"/>
                        </m:rPr>
                        <m:t xml:space="preserve">2</m:t>
                      </m:r>
                    </m:sup>
                  </m:sSup>
                  <m:sSup>
                    <m:e>
                      <m:r>
                        <m:t xml:space="preserve">π</m:t>
                      </m:r>
                    </m:e>
                    <m:sup>
                      <m:r>
                        <m:rPr>
                          <m:sty m:val="p"/>
                        </m:rPr>
                        <m:t xml:space="preserve">2</m:t>
                      </m:r>
                    </m:sup>
                  </m:sSup>
                </m:num>
                <m:den>
                  <m:r>
                    <m:rPr>
                      <m:sty m:val="p"/>
                    </m:rPr>
                    <m:t xml:space="preserve">2</m:t>
                  </m:r>
                  <m:sSup>
                    <m:e>
                      <m:r>
                        <m:t xml:space="preserve">r</m:t>
                      </m:r>
                    </m:e>
                    <m:sup>
                      <m:r>
                        <m:rPr>
                          <m:sty m:val="p"/>
                        </m:rPr>
                        <m:t xml:space="preserve">2</m:t>
                      </m:r>
                    </m:sup>
                  </m:sSup>
                </m:den>
              </m:f>
              <m:d>
                <m:dPr>
                  <m:begChr m:val="("/>
                  <m:endChr m:val=")"/>
                </m:dPr>
                <m:e>
                  <m:f>
                    <m:num>
                      <m:r>
                        <m:rPr>
                          <m:sty m:val="p"/>
                        </m:rPr>
                        <m:t xml:space="preserve">1</m:t>
                      </m:r>
                    </m:num>
                    <m:den>
                      <m:sSub>
                        <m:e>
                          <m:r>
                            <m:t xml:space="preserve">m</m:t>
                          </m:r>
                        </m:e>
                        <m:sub>
                          <m:r>
                            <m:t xml:space="preserve">e</m:t>
                          </m:r>
                        </m:sub>
                      </m:sSub>
                    </m:den>
                  </m:f>
                  <m:r>
                    <m:rPr>
                      <m:sty m:val="p"/>
                    </m:rPr>
                    <m:t xml:space="preserve"> + </m:t>
                  </m:r>
                  <m:f>
                    <m:num>
                      <m:r>
                        <m:rPr>
                          <m:sty m:val="p"/>
                        </m:rPr>
                        <m:t xml:space="preserve">1</m:t>
                      </m:r>
                    </m:num>
                    <m:den>
                      <m:sSub>
                        <m:e>
                          <m:r>
                            <m:t xml:space="preserve">m</m:t>
                          </m:r>
                        </m:e>
                        <m:sub>
                          <m:r>
                            <m:t xml:space="preserve">h</m:t>
                          </m:r>
                        </m:sub>
                      </m:sSub>
                    </m:den>
                  </m:f>
                </m:e>
              </m:d>
              <m:r>
                <m:rPr>
                  <m:sty m:val="p"/>
                </m:rPr>
                <m:t xml:space="preserve"> − </m:t>
              </m:r>
              <m:f>
                <m:num>
                  <m:r>
                    <m:rPr>
                      <m:sty m:val="p"/>
                    </m:rPr>
                    <m:t xml:space="preserve">1,8</m:t>
                  </m:r>
                  <m:sSup>
                    <m:e>
                      <m:r>
                        <m:t xml:space="preserve">e</m:t>
                      </m:r>
                    </m:e>
                    <m:sup>
                      <m:r>
                        <m:rPr>
                          <m:sty m:val="p"/>
                        </m:rPr>
                        <m:t xml:space="preserve">2</m:t>
                      </m:r>
                    </m:sup>
                  </m:sSup>
                </m:num>
                <m:den>
                  <m:r>
                    <m:rPr>
                      <m:sty m:val="p"/>
                    </m:rPr>
                    <m:t xml:space="preserve">4</m:t>
                  </m:r>
                  <m:r>
                    <m:t xml:space="preserve">π</m:t>
                  </m:r>
                  <m:r>
                    <m:t xml:space="preserve">ε</m:t>
                  </m:r>
                  <m:sSub>
                    <m:e>
                      <m:r>
                        <m:t xml:space="preserve">ε</m:t>
                      </m:r>
                    </m:e>
                    <m:sub>
                      <m:r>
                        <m:rPr>
                          <m:sty m:val="p"/>
                        </m:rPr>
                        <m:t xml:space="preserve">0</m:t>
                      </m:r>
                    </m:sub>
                  </m:sSub>
                  <m:r>
                    <m:t xml:space="preserve">r</m:t>
                  </m:r>
                </m:den>
              </m:f>
            </m:oMath>
          </w:p>
        </w:tc>
        <w:tc>
          <w:tcPr>
            <w:tcW w:type="dxa" w:w="1134"/>
          </w:tcPr>
          <w:p>
            <w:pPr>
              <w:spacing w:after="40" w:before="40"/>
              <w:jc w:val="right"/>
            </w:pPr>
            <w:r>
              <w:t>(7)</w:t>
            </w:r>
          </w:p>
        </w:tc>
      </w:tr>
    </w:tbl>
    <w:p>
      <w:pPr>
        <w:spacing w:after="120"/>
        <w:jc w:val="both"/>
      </w:pPr>
      <w:r>
        <w:t xml:space="preserve">bu yerda </w:t>
      </w:r>
      <m:oMath>
        <m:sSub>
          <m:e>
            <m:r>
              <m:t xml:space="preserve">m</m:t>
            </m:r>
          </m:e>
          <m:sub>
            <m:r>
              <m:t xml:space="preserve">e</m:t>
            </m:r>
          </m:sub>
        </m:sSub>
      </m:oMath>
      <w:r>
        <w:rPr>
          <w:b w:val="0"/>
          <w:i w:val="0"/>
        </w:rPr>
        <w:t xml:space="preserve">, </w:t>
      </w:r>
      <m:oMath>
        <m:sSub>
          <m:e>
            <m:r>
              <m:t xml:space="preserve">m</m:t>
            </m:r>
          </m:e>
          <m:sub>
            <m:r>
              <m:t xml:space="preserve">h</m:t>
            </m:r>
          </m:sub>
        </m:sSub>
      </m:oMath>
      <w:r>
        <w:rPr>
          <w:b w:val="0"/>
          <w:i w:val="0"/>
        </w:rPr>
        <w:t xml:space="preserve"> — elektron va kovakning effektiv massalari, </w:t>
      </w:r>
      <m:oMath>
        <m:r>
          <m:t xml:space="preserve">ε</m:t>
        </m:r>
      </m:oMath>
      <w:r>
        <w:rPr>
          <w:b w:val="0"/>
          <w:i w:val="0"/>
        </w:rPr>
        <w:t xml:space="preserve"> — dielektrik singdiruvchanlik.</w:t>
      </w:r>
    </w:p>
    <w:p>
      <w:pPr>
        <w:jc w:val="both"/>
      </w:pPr>
      <w:r>
        <w:rPr>
          <w:b w:val="0"/>
          <w:i w:val="0"/>
        </w:rPr>
        <w:t xml:space="preserve">Shunday qilib </w:t>
      </w:r>
      <m:oMath>
        <m:sSub>
          <m:e>
            <m:r>
              <m:t xml:space="preserve">E</m:t>
            </m:r>
          </m:e>
          <m:sub>
            <m:r>
              <m:t xml:space="preserve">g</m:t>
            </m:r>
          </m:sub>
        </m:sSub>
        <m:r>
          <m:rPr>
            <m:sty m:val="p"/>
          </m:rPr>
          <m:t xml:space="preserve"> ∝ </m:t>
        </m:r>
        <m:f>
          <m:num>
            <m:r>
              <m:rPr>
                <m:sty m:val="p"/>
              </m:rPr>
              <m:t xml:space="preserve">1</m:t>
            </m:r>
          </m:num>
          <m:den>
            <m:sSup>
              <m:e>
                <m:r>
                  <m:t xml:space="preserve">r</m:t>
                </m:r>
              </m:e>
              <m:sup>
                <m:r>
                  <m:rPr>
                    <m:sty m:val="p"/>
                  </m:rPr>
                  <m:t xml:space="preserve">2</m:t>
                </m:r>
              </m:sup>
            </m:sSup>
          </m:den>
        </m:f>
      </m:oMath>
      <w:r>
        <w:rPr>
          <w:b w:val="0"/>
          <w:i w:val="0"/>
        </w:rPr>
        <w:t xml:space="preserve"> — o'lcham kichraygan sari lyuminessensiya rangi qizildan ko'kka siljiydi.</w:t>
      </w:r>
    </w:p>
    <w:p>
      <w:pPr>
        <w:pStyle w:val="ListBullet"/>
        <w:spacing w:after="40"/>
        <w:jc w:val="both"/>
      </w:pPr>
      <w:r>
        <w:rPr>
          <w:b/>
          <w:i w:val="0"/>
        </w:rPr>
        <w:t xml:space="preserve">Sirt plazmon rezonansi (SPR): </w:t>
      </w:r>
      <w:r>
        <w:rPr>
          <w:b w:val="0"/>
          <w:i w:val="0"/>
        </w:rPr>
        <w:t>Au nanozarrachalar 520 nm atrofida yutadi (qizil-binafsha rang); o'lcham ortishi va agregatsiya bilan cho'qqi qizil tomonga siljiydi — kolorimetrik sensorlar asosi.</w:t>
      </w:r>
    </w:p>
    <w:p>
      <w:pPr>
        <w:pStyle w:val="ListBullet"/>
        <w:spacing w:after="40"/>
        <w:jc w:val="both"/>
      </w:pPr>
      <w:r>
        <w:rPr>
          <w:b/>
          <w:i w:val="0"/>
        </w:rPr>
        <w:t xml:space="preserve">Superparamagnetizm: </w:t>
      </w:r>
      <w:r>
        <w:rPr>
          <w:b w:val="0"/>
          <w:i w:val="0"/>
        </w:rPr>
        <w:t>Fe₃O₄ zarrachalar ≈ 20 nm dan kichik bo'lsa bir domenli bo'lib, qoldiq magnitlanishsiz kuchli javob beradi (MRT kontrast, magnit ajratish).</w:t>
      </w:r>
    </w:p>
    <w:p>
      <w:pPr>
        <w:pStyle w:val="ListBullet"/>
        <w:spacing w:after="40"/>
        <w:jc w:val="both"/>
      </w:pPr>
      <w:r>
        <w:rPr>
          <w:b/>
          <w:i w:val="0"/>
        </w:rPr>
        <w:t xml:space="preserve">Katalitik faollik: </w:t>
      </w:r>
      <w:r>
        <w:rPr>
          <w:b w:val="0"/>
          <w:i w:val="0"/>
        </w:rPr>
        <w:t>qirra va burchak atomlari ulushi ortadi; Au 3–5 nm da CO oksidlanishida faol, massiv holda inert.</w:t>
      </w:r>
    </w:p>
    <w:tbl>
      <w:tblPr>
        <w:tblStyle w:val="TableGrid"/>
        <w:tblW w:type="auto" w:w="0"/>
        <w:jc w:val="center"/>
        <w:tblLook w:firstColumn="1" w:firstRow="1" w:lastColumn="0" w:lastRow="0" w:noHBand="0" w:noVBand="1" w:val="04A0"/>
      </w:tblPr>
      <w:tblGrid>
        <w:gridCol w:w="3324"/>
        <w:gridCol w:w="3324"/>
        <w:gridCol w:w="3324"/>
      </w:tblGrid>
      <w:tr>
        <w:tc>
          <w:tcPr>
            <w:tcW w:type="dxa" w:w="2835"/>
            <w:shd w:val="clear" w:color="auto" w:fill="DCE6F1"/>
          </w:tcPr>
          <w:p>
            <w:pPr>
              <w:jc w:val="center"/>
            </w:pPr>
            <w:r/>
            <w:r>
              <w:rPr>
                <w:b/>
                <w:sz w:val="22"/>
              </w:rPr>
              <w:t>Xossa</w:t>
            </w:r>
          </w:p>
        </w:tc>
        <w:tc>
          <w:tcPr>
            <w:tcW w:type="dxa" w:w="2835"/>
            <w:shd w:val="clear" w:color="auto" w:fill="DCE6F1"/>
          </w:tcPr>
          <w:p>
            <w:pPr>
              <w:jc w:val="center"/>
            </w:pPr>
            <w:r/>
            <w:r>
              <w:rPr>
                <w:b/>
                <w:sz w:val="22"/>
              </w:rPr>
              <w:t>O'lcham kichraygan sari</w:t>
            </w:r>
          </w:p>
        </w:tc>
        <w:tc>
          <w:tcPr>
            <w:tcW w:type="dxa" w:w="3685"/>
            <w:shd w:val="clear" w:color="auto" w:fill="DCE6F1"/>
          </w:tcPr>
          <w:p>
            <w:pPr>
              <w:jc w:val="center"/>
            </w:pPr>
            <w:r/>
            <w:r>
              <w:rPr>
                <w:b/>
                <w:sz w:val="22"/>
              </w:rPr>
              <w:t>Qonuniyat</w:t>
            </w:r>
          </w:p>
        </w:tc>
      </w:tr>
      <w:tr>
        <w:tc>
          <w:tcPr>
            <w:tcW w:type="dxa" w:w="2835"/>
          </w:tcPr>
          <w:p>
            <w:r/>
            <w:r>
              <w:rPr>
                <w:sz w:val="22"/>
              </w:rPr>
              <w:t>Solishtirma sirt</w:t>
            </w:r>
          </w:p>
        </w:tc>
        <w:tc>
          <w:tcPr>
            <w:tcW w:type="dxa" w:w="2835"/>
          </w:tcPr>
          <w:p>
            <w:r/>
            <w:r>
              <w:rPr>
                <w:sz w:val="22"/>
              </w:rPr>
              <w:t>keskin ortadi</w:t>
            </w:r>
          </w:p>
        </w:tc>
        <w:tc>
          <w:tcPr>
            <w:tcW w:type="dxa" w:w="3685"/>
          </w:tcPr>
          <w:p>
            <w:pPr>
              <w:jc w:val="center"/>
            </w:pPr>
            <w:r/>
            <m:oMath>
              <m:r>
                <m:t xml:space="preserve">S</m:t>
              </m:r>
              <m:r>
                <m:rPr>
                  <m:sty m:val="p"/>
                </m:rPr>
                <m:t xml:space="preserve"> ∝ </m:t>
              </m:r>
              <m:f>
                <m:num>
                  <m:r>
                    <m:rPr>
                      <m:sty m:val="p"/>
                    </m:rPr>
                    <m:t xml:space="preserve">1</m:t>
                  </m:r>
                </m:num>
                <m:den>
                  <m:r>
                    <m:t xml:space="preserve">d</m:t>
                  </m:r>
                </m:den>
              </m:f>
            </m:oMath>
          </w:p>
        </w:tc>
      </w:tr>
      <w:tr>
        <w:tc>
          <w:tcPr>
            <w:tcW w:type="dxa" w:w="2835"/>
          </w:tcPr>
          <w:p>
            <w:r/>
            <w:r>
              <w:rPr>
                <w:sz w:val="22"/>
              </w:rPr>
              <w:t>Eruvchanlik</w:t>
            </w:r>
          </w:p>
        </w:tc>
        <w:tc>
          <w:tcPr>
            <w:tcW w:type="dxa" w:w="2835"/>
          </w:tcPr>
          <w:p>
            <w:r/>
            <w:r>
              <w:rPr>
                <w:sz w:val="22"/>
              </w:rPr>
              <w:t>eksponensial ortadi</w:t>
            </w:r>
          </w:p>
        </w:tc>
        <w:tc>
          <w:tcPr>
            <w:tcW w:type="dxa" w:w="3685"/>
          </w:tcPr>
          <w:p>
            <w:pPr>
              <w:jc w:val="center"/>
            </w:pPr>
            <w:r/>
            <m:oMath>
              <m:r>
                <m:rPr>
                  <m:sty m:val="p"/>
                </m:rPr>
                <m:t xml:space="preserve">ln</m:t>
              </m:r>
              <m:r>
                <m:t xml:space="preserve">c</m:t>
              </m:r>
              <m:r>
                <m:rPr>
                  <m:sty m:val="p"/>
                </m:rPr>
                <m:t xml:space="preserve"> ∝ </m:t>
              </m:r>
              <m:f>
                <m:num>
                  <m:r>
                    <m:rPr>
                      <m:sty m:val="p"/>
                    </m:rPr>
                    <m:t xml:space="preserve">1</m:t>
                  </m:r>
                </m:num>
                <m:den>
                  <m:r>
                    <m:t xml:space="preserve">r</m:t>
                  </m:r>
                </m:den>
              </m:f>
            </m:oMath>
          </w:p>
        </w:tc>
      </w:tr>
      <w:tr>
        <w:tc>
          <w:tcPr>
            <w:tcW w:type="dxa" w:w="2835"/>
          </w:tcPr>
          <w:p>
            <w:r/>
            <w:r>
              <w:rPr>
                <w:sz w:val="22"/>
              </w:rPr>
              <w:t>Erish harorati</w:t>
            </w:r>
          </w:p>
        </w:tc>
        <w:tc>
          <w:tcPr>
            <w:tcW w:type="dxa" w:w="2835"/>
          </w:tcPr>
          <w:p>
            <w:r/>
            <w:r>
              <w:rPr>
                <w:sz w:val="22"/>
              </w:rPr>
              <w:t>pasayadi</w:t>
            </w:r>
          </w:p>
        </w:tc>
        <w:tc>
          <w:tcPr>
            <w:tcW w:type="dxa" w:w="3685"/>
          </w:tcPr>
          <w:p>
            <w:pPr>
              <w:jc w:val="center"/>
            </w:pPr>
            <w:r/>
            <m:oMath>
              <m:r>
                <m:t xml:space="preserve">Δ</m:t>
              </m:r>
              <m:sSub>
                <m:e>
                  <m:r>
                    <m:t xml:space="preserve">T</m:t>
                  </m:r>
                </m:e>
                <m:sub>
                  <m:r>
                    <m:t xml:space="preserve">m</m:t>
                  </m:r>
                </m:sub>
              </m:sSub>
              <m:r>
                <m:rPr>
                  <m:sty m:val="p"/>
                </m:rPr>
                <m:t xml:space="preserve"> ∝ </m:t>
              </m:r>
              <m:f>
                <m:num>
                  <m:r>
                    <m:rPr>
                      <m:sty m:val="p"/>
                    </m:rPr>
                    <m:t xml:space="preserve">1</m:t>
                  </m:r>
                </m:num>
                <m:den>
                  <m:r>
                    <m:t xml:space="preserve">r</m:t>
                  </m:r>
                </m:den>
              </m:f>
            </m:oMath>
          </w:p>
        </w:tc>
      </w:tr>
      <w:tr>
        <w:tc>
          <w:tcPr>
            <w:tcW w:type="dxa" w:w="2835"/>
          </w:tcPr>
          <w:p>
            <w:r/>
            <w:r>
              <w:rPr>
                <w:sz w:val="22"/>
              </w:rPr>
              <w:t>Cho'kish tezligi</w:t>
            </w:r>
          </w:p>
        </w:tc>
        <w:tc>
          <w:tcPr>
            <w:tcW w:type="dxa" w:w="2835"/>
          </w:tcPr>
          <w:p>
            <w:r/>
            <w:r>
              <w:rPr>
                <w:sz w:val="22"/>
              </w:rPr>
              <w:t>kamayadi</w:t>
            </w:r>
          </w:p>
        </w:tc>
        <w:tc>
          <w:tcPr>
            <w:tcW w:type="dxa" w:w="3685"/>
          </w:tcPr>
          <w:p>
            <w:pPr>
              <w:jc w:val="center"/>
            </w:pPr>
            <w:r/>
            <m:oMath>
              <m:r>
                <m:t xml:space="preserve">v</m:t>
              </m:r>
              <m:r>
                <m:rPr>
                  <m:sty m:val="p"/>
                </m:rPr>
                <m:t xml:space="preserve"> ∝ </m:t>
              </m:r>
              <m:sSup>
                <m:e>
                  <m:r>
                    <m:t xml:space="preserve">r</m:t>
                  </m:r>
                </m:e>
                <m:sup>
                  <m:r>
                    <m:rPr>
                      <m:sty m:val="p"/>
                    </m:rPr>
                    <m:t xml:space="preserve">2</m:t>
                  </m:r>
                </m:sup>
              </m:sSup>
            </m:oMath>
          </w:p>
        </w:tc>
      </w:tr>
      <w:tr>
        <w:tc>
          <w:tcPr>
            <w:tcW w:type="dxa" w:w="2835"/>
          </w:tcPr>
          <w:p>
            <w:r/>
            <w:r>
              <w:rPr>
                <w:sz w:val="22"/>
              </w:rPr>
              <w:t>Diffuziya koeffitsienti</w:t>
            </w:r>
          </w:p>
        </w:tc>
        <w:tc>
          <w:tcPr>
            <w:tcW w:type="dxa" w:w="2835"/>
          </w:tcPr>
          <w:p>
            <w:r/>
            <w:r>
              <w:rPr>
                <w:sz w:val="22"/>
              </w:rPr>
              <w:t>ortadi</w:t>
            </w:r>
          </w:p>
        </w:tc>
        <w:tc>
          <w:tcPr>
            <w:tcW w:type="dxa" w:w="3685"/>
          </w:tcPr>
          <w:p>
            <w:pPr>
              <w:jc w:val="center"/>
            </w:pPr>
            <w:r/>
            <m:oMath>
              <m:r>
                <m:t xml:space="preserve">D</m:t>
              </m:r>
              <m:r>
                <m:rPr>
                  <m:sty m:val="p"/>
                </m:rPr>
                <m:t xml:space="preserve"> ∝ </m:t>
              </m:r>
              <m:f>
                <m:num>
                  <m:r>
                    <m:rPr>
                      <m:sty m:val="p"/>
                    </m:rPr>
                    <m:t xml:space="preserve">1</m:t>
                  </m:r>
                </m:num>
                <m:den>
                  <m:r>
                    <m:t xml:space="preserve">r</m:t>
                  </m:r>
                </m:den>
              </m:f>
            </m:oMath>
          </w:p>
        </w:tc>
      </w:tr>
      <w:tr>
        <w:tc>
          <w:tcPr>
            <w:tcW w:type="dxa" w:w="2835"/>
          </w:tcPr>
          <w:p>
            <w:r/>
            <w:r>
              <w:rPr>
                <w:sz w:val="22"/>
              </w:rPr>
              <w:t>Taqiqlangan zona (QD)</w:t>
            </w:r>
          </w:p>
        </w:tc>
        <w:tc>
          <w:tcPr>
            <w:tcW w:type="dxa" w:w="2835"/>
          </w:tcPr>
          <w:p>
            <w:r/>
            <w:r>
              <w:rPr>
                <w:sz w:val="22"/>
              </w:rPr>
              <w:t>kengayadi</w:t>
            </w:r>
          </w:p>
        </w:tc>
        <w:tc>
          <w:tcPr>
            <w:tcW w:type="dxa" w:w="3685"/>
          </w:tcPr>
          <w:p>
            <w:pPr>
              <w:jc w:val="center"/>
            </w:pPr>
            <w:r/>
            <m:oMath>
              <m:r>
                <m:t xml:space="preserve">Δ</m:t>
              </m:r>
              <m:sSub>
                <m:e>
                  <m:r>
                    <m:t xml:space="preserve">E</m:t>
                  </m:r>
                </m:e>
                <m:sub>
                  <m:r>
                    <m:t xml:space="preserve">g</m:t>
                  </m:r>
                </m:sub>
              </m:sSub>
              <m:r>
                <m:rPr>
                  <m:sty m:val="p"/>
                </m:rPr>
                <m:t xml:space="preserve"> ∝ </m:t>
              </m:r>
              <m:f>
                <m:num>
                  <m:r>
                    <m:rPr>
                      <m:sty m:val="p"/>
                    </m:rPr>
                    <m:t xml:space="preserve">1</m:t>
                  </m:r>
                </m:num>
                <m:den>
                  <m:sSup>
                    <m:e>
                      <m:r>
                        <m:t xml:space="preserve">r</m:t>
                      </m:r>
                    </m:e>
                    <m:sup>
                      <m:r>
                        <m:rPr>
                          <m:sty m:val="p"/>
                        </m:rPr>
                        <m:t xml:space="preserve">2</m:t>
                      </m:r>
                    </m:sup>
                  </m:sSup>
                </m:den>
              </m:f>
            </m:oMath>
          </w:p>
        </w:tc>
      </w:tr>
      <w:tr>
        <w:tc>
          <w:tcPr>
            <w:tcW w:type="dxa" w:w="2835"/>
          </w:tcPr>
          <w:p>
            <w:r/>
            <w:r>
              <w:rPr>
                <w:sz w:val="22"/>
              </w:rPr>
              <w:t>Katalitik faollik</w:t>
            </w:r>
          </w:p>
        </w:tc>
        <w:tc>
          <w:tcPr>
            <w:tcW w:type="dxa" w:w="2835"/>
          </w:tcPr>
          <w:p>
            <w:r/>
            <w:r>
              <w:rPr>
                <w:sz w:val="22"/>
              </w:rPr>
              <w:t>ortadi</w:t>
            </w:r>
          </w:p>
        </w:tc>
        <w:tc>
          <w:tcPr>
            <w:tcW w:type="dxa" w:w="3685"/>
          </w:tcPr>
          <w:p>
            <w:r/>
            <w:r>
              <w:rPr>
                <w:sz w:val="22"/>
              </w:rPr>
              <w:t>qirra/burchak atomlar ulushi</w:t>
            </w:r>
          </w:p>
        </w:tc>
      </w:tr>
    </w:tbl>
    <w:p>
      <w:pPr>
        <w:spacing w:after="40"/>
      </w:pPr>
    </w:p>
    <w:p>
      <w:pPr>
        <w:pStyle w:val="Heading2"/>
      </w:pPr>
      <w:r>
        <w:t>4.3. Zarracha shaklining ta'siri</w:t>
      </w:r>
    </w:p>
    <w:p>
      <w:pPr>
        <w:jc w:val="both"/>
      </w:pPr>
      <w:r>
        <w:rPr>
          <w:b w:val="0"/>
          <w:i w:val="0"/>
        </w:rPr>
        <w:t xml:space="preserve">Bir xil hajmdagi zarrachalarda shakl o'zgarishi sirt/hajm nisbatini, ochiq kristall yuzalar turini va zaryad taqsimotini o'zgartiradi. Asosiy geometrik parametr — aspekt nisbati </w:t>
      </w:r>
      <m:oMath>
        <m:r>
          <m:rPr>
            <m:sty m:val="p"/>
          </m:rPr>
          <m:t xml:space="preserve">AR</m:t>
        </m:r>
        <m:r>
          <m:rPr>
            <m:sty m:val="p"/>
          </m:rPr>
          <m:t xml:space="preserve"> = </m:t>
        </m:r>
        <m:f>
          <m:num>
            <m:r>
              <m:t xml:space="preserve">L</m:t>
            </m:r>
          </m:num>
          <m:den>
            <m:r>
              <m:t xml:space="preserve">d</m:t>
            </m:r>
          </m:den>
        </m:f>
      </m:oMath>
      <w:r>
        <w:rPr>
          <w:b w:val="0"/>
          <w:i w:val="0"/>
        </w:rPr>
        <w:t xml:space="preserve"> (uzunlikning diametrga nisbati).</w:t>
      </w:r>
    </w:p>
    <w:p>
      <w:pPr>
        <w:jc w:val="both"/>
      </w:pPr>
      <w:r>
        <w:rPr>
          <w:b/>
          <w:i w:val="0"/>
        </w:rPr>
        <w:t xml:space="preserve">Reologiya. </w:t>
      </w:r>
      <w:r>
        <w:rPr>
          <w:b w:val="0"/>
          <w:i w:val="0"/>
        </w:rPr>
        <w:t>Suyultirilgan sferik zollar uchun Eynshteyn tenglamasi o'rinli:</w:t>
      </w:r>
    </w:p>
    <w:tbl>
      <w:tblPr>
        <w:tblW w:type="auto" w:w="0"/>
        <w:jc w:val="center"/>
        <w:tblLook w:firstColumn="1" w:firstRow="1" w:lastColumn="0" w:lastRow="0" w:noHBand="0" w:noVBand="1" w:val="04A0"/>
      </w:tblPr>
      <w:tblGrid>
        <w:gridCol w:w="4986"/>
        <w:gridCol w:w="4986"/>
      </w:tblGrid>
      <w:tr>
        <w:tc>
          <w:tcPr>
            <w:tcW w:type="dxa" w:w="8220"/>
          </w:tcPr>
          <w:p>
            <w:pPr>
              <w:spacing w:after="40" w:before="40"/>
              <w:jc w:val="center"/>
            </w:pPr>
            <m:oMath>
              <m:r>
                <m:t xml:space="preserve">η</m:t>
              </m:r>
              <m:r>
                <m:rPr>
                  <m:sty m:val="p"/>
                </m:rPr>
                <m:t xml:space="preserve"> = </m:t>
              </m:r>
              <m:sSub>
                <m:e>
                  <m:r>
                    <m:t xml:space="preserve">η</m:t>
                  </m:r>
                </m:e>
                <m:sub>
                  <m:r>
                    <m:rPr>
                      <m:sty m:val="p"/>
                    </m:rPr>
                    <m:t xml:space="preserve">0</m:t>
                  </m:r>
                </m:sub>
              </m:sSub>
              <m:d>
                <m:dPr>
                  <m:begChr m:val="("/>
                  <m:endChr m:val=")"/>
                </m:dPr>
                <m:e>
                  <m:r>
                    <m:rPr>
                      <m:sty m:val="p"/>
                    </m:rPr>
                    <m:t xml:space="preserve">1 + </m:t>
                  </m:r>
                  <m:r>
                    <m:t xml:space="preserve">k</m:t>
                  </m:r>
                  <m:r>
                    <m:t xml:space="preserve">φ</m:t>
                  </m:r>
                </m:e>
              </m:d>
            </m:oMath>
          </w:p>
        </w:tc>
        <w:tc>
          <w:tcPr>
            <w:tcW w:type="dxa" w:w="1134"/>
          </w:tcPr>
          <w:p>
            <w:pPr>
              <w:spacing w:after="40" w:before="40"/>
              <w:jc w:val="right"/>
            </w:pPr>
            <w:r>
              <w:t>(8)</w:t>
            </w:r>
          </w:p>
        </w:tc>
      </w:tr>
    </w:tbl>
    <w:p>
      <w:pPr>
        <w:spacing w:after="120"/>
        <w:jc w:val="both"/>
      </w:pPr>
      <w:r>
        <w:t xml:space="preserve">bu yerda </w:t>
      </w:r>
      <m:oMath>
        <m:sSub>
          <m:e>
            <m:r>
              <m:t xml:space="preserve">η</m:t>
            </m:r>
          </m:e>
          <m:sub>
            <m:r>
              <m:rPr>
                <m:sty m:val="p"/>
              </m:rPr>
              <m:t xml:space="preserve">0</m:t>
            </m:r>
          </m:sub>
        </m:sSub>
      </m:oMath>
      <w:r>
        <w:rPr>
          <w:b w:val="0"/>
          <w:i w:val="0"/>
        </w:rPr>
        <w:t xml:space="preserve"> — muhit qovushqoqligi, </w:t>
      </w:r>
      <m:oMath>
        <m:r>
          <m:t xml:space="preserve">φ</m:t>
        </m:r>
      </m:oMath>
      <w:r>
        <w:rPr>
          <w:b w:val="0"/>
          <w:i w:val="0"/>
        </w:rPr>
        <w:t xml:space="preserve"> — dispers faza hajmiy ulushi, </w:t>
      </w:r>
      <m:oMath>
        <m:r>
          <m:t xml:space="preserve">k</m:t>
        </m:r>
        <m:r>
          <m:rPr>
            <m:sty m:val="p"/>
          </m:rPr>
          <m:t xml:space="preserve"> = 2,5</m:t>
        </m:r>
      </m:oMath>
      <w:r>
        <w:rPr>
          <w:b w:val="0"/>
          <w:i w:val="0"/>
        </w:rPr>
        <w:t xml:space="preserve"> — sferik zarrachalar uchun; nosferik (tayoqcha, plastinka) zarrachalarda </w:t>
      </w:r>
      <m:oMath>
        <m:r>
          <m:t xml:space="preserve">k</m:t>
        </m:r>
        <m:r>
          <m:rPr>
            <m:sty m:val="p"/>
          </m:rPr>
          <m:t xml:space="preserve"> &gt; 2,5</m:t>
        </m:r>
      </m:oMath>
      <w:r>
        <w:rPr>
          <w:b w:val="0"/>
          <w:i w:val="0"/>
        </w:rPr>
        <w:t xml:space="preserve"> va u aspekt nisbati bilan ortadi, tizim tiksotrop/psevdoplastik xususiyat oladi (nanoglina, nanoselluloza).</w:t>
      </w:r>
    </w:p>
    <w:p>
      <w:pPr>
        <w:pStyle w:val="ListBullet"/>
        <w:spacing w:after="40"/>
        <w:jc w:val="both"/>
      </w:pPr>
      <w:r>
        <w:rPr>
          <w:b/>
          <w:i w:val="0"/>
        </w:rPr>
        <w:t xml:space="preserve">Optika: </w:t>
      </w:r>
      <w:r>
        <w:rPr>
          <w:b w:val="0"/>
          <w:i w:val="0"/>
        </w:rPr>
        <w:t>Au nanotayoqchalarda ikkita plazmon cho'qqi hosil bo'ladi — ko'ndalang (≈ 520 nm) va bo'ylama; bo'ylama cho'qqi AR ortishi bilan yaqin IQ sohaga (700–1100 nm) siljiydi, bu fototermal terapiyada ishlatiladi.</w:t>
      </w:r>
    </w:p>
    <w:p>
      <w:pPr>
        <w:pStyle w:val="ListBullet"/>
        <w:spacing w:after="40"/>
        <w:jc w:val="both"/>
      </w:pPr>
      <w:r>
        <w:rPr>
          <w:b/>
          <w:i w:val="0"/>
        </w:rPr>
        <w:t xml:space="preserve">Kataliz va selektivlik: </w:t>
      </w:r>
      <w:r>
        <w:rPr>
          <w:b w:val="0"/>
          <w:i w:val="0"/>
        </w:rPr>
        <w:t>kub (100), oktaedr (111), tetraedr yuzalarining sirt energiyasi va adsorbsiya energiyasi farqlanadi; Pt kublari va oktaedrlari bir reaksiyada turli mahsulot selektivligini beradi.</w:t>
      </w:r>
    </w:p>
    <w:p>
      <w:pPr>
        <w:pStyle w:val="ListBullet"/>
        <w:spacing w:after="40"/>
        <w:jc w:val="both"/>
      </w:pPr>
      <w:r>
        <w:rPr>
          <w:b/>
          <w:i w:val="0"/>
        </w:rPr>
        <w:t xml:space="preserve">Barqarorlik va o'zaro ta'sir: </w:t>
      </w:r>
      <w:r>
        <w:rPr>
          <w:b w:val="0"/>
          <w:i w:val="0"/>
        </w:rPr>
        <w:t>plastinkasimon va tayoqchasimon zarrachalar uchun van-der-Vaals tortishish geometriyaga bog'liq; qirra va uchlarda elektr maydon kontsentratsiyasi ortadi ("lightning rod" effekti).</w:t>
      </w:r>
    </w:p>
    <w:p>
      <w:pPr>
        <w:pStyle w:val="ListBullet"/>
        <w:spacing w:after="40"/>
        <w:jc w:val="both"/>
      </w:pPr>
      <w:r>
        <w:rPr>
          <w:b/>
          <w:i w:val="0"/>
        </w:rPr>
        <w:t xml:space="preserve">Biologik javob: </w:t>
      </w:r>
      <w:r>
        <w:rPr>
          <w:b w:val="0"/>
          <w:i w:val="0"/>
        </w:rPr>
        <w:t>tayoqchasimon zarrachalar sferiklarga nisbatan hujayra membranasidan boshqacha o'tadi; shakl toksiklik va sirkulyatsiya vaqtini belgilaydi.</w:t>
      </w:r>
    </w:p>
    <w:p>
      <w:pPr>
        <w:pStyle w:val="Heading2"/>
      </w:pPr>
      <w:r>
        <w:t>4.4. Sirt modifikatsiyasining ta'siri</w:t>
      </w:r>
    </w:p>
    <w:p>
      <w:pPr>
        <w:spacing w:after="40"/>
        <w:jc w:val="both"/>
      </w:pPr>
      <w:r>
        <w:rPr>
          <w:b w:val="0"/>
          <w:i w:val="0"/>
        </w:rPr>
        <w:t>DLVO nazariyasiga ko'ra ikki zarracha orasidagi natijaviy o'zaro ta'sir energiyasi elektrostatik itarilish va van-der-Vaals tortishish yig'indisidan iborat:</w:t>
      </w:r>
    </w:p>
    <w:tbl>
      <w:tblPr>
        <w:tblW w:type="auto" w:w="0"/>
        <w:jc w:val="center"/>
        <w:tblLook w:firstColumn="1" w:firstRow="1" w:lastColumn="0" w:lastRow="0" w:noHBand="0" w:noVBand="1" w:val="04A0"/>
      </w:tblPr>
      <w:tblGrid>
        <w:gridCol w:w="4986"/>
        <w:gridCol w:w="4986"/>
      </w:tblGrid>
      <w:tr>
        <w:tc>
          <w:tcPr>
            <w:tcW w:type="dxa" w:w="8220"/>
          </w:tcPr>
          <w:p>
            <w:pPr>
              <w:spacing w:after="40" w:before="40"/>
              <w:jc w:val="center"/>
            </w:pPr>
            <m:oMath>
              <m:r>
                <m:t xml:space="preserve">U</m:t>
              </m:r>
              <m:d>
                <m:dPr>
                  <m:begChr m:val="("/>
                  <m:endChr m:val=")"/>
                </m:dPr>
                <m:e>
                  <m:r>
                    <m:t xml:space="preserve">h</m:t>
                  </m:r>
                </m:e>
              </m:d>
              <m:r>
                <m:rPr>
                  <m:sty m:val="p"/>
                </m:rPr>
                <m:t xml:space="preserve"> = </m:t>
              </m:r>
              <m:sSub>
                <m:e>
                  <m:r>
                    <m:t xml:space="preserve">U</m:t>
                  </m:r>
                </m:e>
                <m:sub>
                  <m:r>
                    <m:rPr>
                      <m:sty m:val="p"/>
                    </m:rPr>
                    <m:t xml:space="preserve">el</m:t>
                  </m:r>
                </m:sub>
              </m:sSub>
              <m:d>
                <m:dPr>
                  <m:begChr m:val="("/>
                  <m:endChr m:val=")"/>
                </m:dPr>
                <m:e>
                  <m:r>
                    <m:t xml:space="preserve">h</m:t>
                  </m:r>
                </m:e>
              </m:d>
              <m:r>
                <m:rPr>
                  <m:sty m:val="p"/>
                </m:rPr>
                <m:t xml:space="preserve"> + </m:t>
              </m:r>
              <m:sSub>
                <m:e>
                  <m:r>
                    <m:t xml:space="preserve">U</m:t>
                  </m:r>
                </m:e>
                <m:sub>
                  <m:r>
                    <m:rPr>
                      <m:sty m:val="p"/>
                    </m:rPr>
                    <m:t xml:space="preserve">vdW</m:t>
                  </m:r>
                </m:sub>
              </m:sSub>
              <m:d>
                <m:dPr>
                  <m:begChr m:val="("/>
                  <m:endChr m:val=")"/>
                </m:dPr>
                <m:e>
                  <m:r>
                    <m:t xml:space="preserve">h</m:t>
                  </m:r>
                </m:e>
              </m:d>
              <m:r>
                <m:rPr>
                  <m:sty m:val="p"/>
                </m:rPr>
                <m:t xml:space="preserve"> = </m:t>
              </m:r>
              <m:r>
                <m:rPr>
                  <m:sty m:val="p"/>
                </m:rPr>
                <m:t xml:space="preserve">2</m:t>
              </m:r>
              <m:r>
                <m:t xml:space="preserve">π</m:t>
              </m:r>
              <m:r>
                <m:t xml:space="preserve">ε</m:t>
              </m:r>
              <m:sSub>
                <m:e>
                  <m:r>
                    <m:t xml:space="preserve">ε</m:t>
                  </m:r>
                </m:e>
                <m:sub>
                  <m:r>
                    <m:rPr>
                      <m:sty m:val="p"/>
                    </m:rPr>
                    <m:t xml:space="preserve">0</m:t>
                  </m:r>
                </m:sub>
              </m:sSub>
              <m:r>
                <m:t xml:space="preserve">r</m:t>
              </m:r>
              <m:sSubSup>
                <m:e>
                  <m:r>
                    <m:t xml:space="preserve">ψ</m:t>
                  </m:r>
                </m:e>
                <m:sub>
                  <m:r>
                    <m:rPr>
                      <m:sty m:val="p"/>
                    </m:rPr>
                    <m:t xml:space="preserve">0</m:t>
                  </m:r>
                </m:sub>
                <m:sup>
                  <m:r>
                    <m:rPr>
                      <m:sty m:val="p"/>
                    </m:rPr>
                    <m:t xml:space="preserve">2</m:t>
                  </m:r>
                </m:sup>
              </m:sSubSup>
              <m:sSup>
                <m:e>
                  <m:r>
                    <m:t xml:space="preserve">e</m:t>
                  </m:r>
                </m:e>
                <m:sup>
                  <m:r>
                    <m:rPr>
                      <m:sty m:val="p"/>
                    </m:rPr>
                    <m:t xml:space="preserve">−</m:t>
                  </m:r>
                  <m:r>
                    <m:t xml:space="preserve">κ</m:t>
                  </m:r>
                  <m:r>
                    <m:t xml:space="preserve">h</m:t>
                  </m:r>
                </m:sup>
              </m:sSup>
              <m:r>
                <m:rPr>
                  <m:sty m:val="p"/>
                </m:rPr>
                <m:t xml:space="preserve"> − </m:t>
              </m:r>
              <m:f>
                <m:num>
                  <m:r>
                    <m:t xml:space="preserve">A</m:t>
                  </m:r>
                  <m:r>
                    <m:t xml:space="preserve">r</m:t>
                  </m:r>
                </m:num>
                <m:den>
                  <m:r>
                    <m:rPr>
                      <m:sty m:val="p"/>
                    </m:rPr>
                    <m:t xml:space="preserve">12</m:t>
                  </m:r>
                  <m:r>
                    <m:t xml:space="preserve">h</m:t>
                  </m:r>
                </m:den>
              </m:f>
            </m:oMath>
          </w:p>
        </w:tc>
        <w:tc>
          <w:tcPr>
            <w:tcW w:type="dxa" w:w="1134"/>
          </w:tcPr>
          <w:p>
            <w:pPr>
              <w:spacing w:after="40" w:before="40"/>
              <w:jc w:val="right"/>
            </w:pPr>
            <w:r>
              <w:t>(9)</w:t>
            </w:r>
          </w:p>
        </w:tc>
      </w:tr>
    </w:tbl>
    <w:p>
      <w:pPr>
        <w:spacing w:after="120"/>
        <w:jc w:val="both"/>
      </w:pPr>
      <w:r>
        <w:t xml:space="preserve">bu yerda </w:t>
      </w:r>
      <m:oMath>
        <m:r>
          <m:t xml:space="preserve">h</m:t>
        </m:r>
      </m:oMath>
      <w:r>
        <w:rPr>
          <w:b w:val="0"/>
          <w:i w:val="0"/>
        </w:rPr>
        <w:t xml:space="preserve"> — sirtlar orasidagi masofa, </w:t>
      </w:r>
      <m:oMath>
        <m:sSub>
          <m:e>
            <m:r>
              <m:t xml:space="preserve">ψ</m:t>
            </m:r>
          </m:e>
          <m:sub>
            <m:r>
              <m:rPr>
                <m:sty m:val="p"/>
              </m:rPr>
              <m:t xml:space="preserve">0</m:t>
            </m:r>
          </m:sub>
        </m:sSub>
      </m:oMath>
      <w:r>
        <w:rPr>
          <w:b w:val="0"/>
          <w:i w:val="0"/>
        </w:rPr>
        <w:t xml:space="preserve"> — sirt potensiali, </w:t>
      </w:r>
      <m:oMath>
        <m:r>
          <m:t xml:space="preserve">A</m:t>
        </m:r>
      </m:oMath>
      <w:r>
        <w:rPr>
          <w:b w:val="0"/>
          <w:i w:val="0"/>
        </w:rPr>
        <w:t xml:space="preserve"> — Gamaker doimiysi, </w:t>
      </w:r>
      <m:oMath>
        <m:r>
          <m:t xml:space="preserve">κ</m:t>
        </m:r>
      </m:oMath>
      <w:r>
        <w:rPr>
          <w:b w:val="0"/>
          <w:i w:val="0"/>
        </w:rPr>
        <w:t xml:space="preserve"> — Debay parametri.</w:t>
      </w:r>
    </w:p>
    <w:p>
      <w:pPr>
        <w:jc w:val="both"/>
      </w:pPr>
      <w:r>
        <w:rPr>
          <w:b w:val="0"/>
          <w:i w:val="0"/>
        </w:rPr>
        <w:t>Qo'sh elektr qavat qalinligi (Debay uzunligi) elektrolit konsentratsiyasiga bog'liq:</w:t>
      </w:r>
    </w:p>
    <w:tbl>
      <w:tblPr>
        <w:tblW w:type="auto" w:w="0"/>
        <w:jc w:val="center"/>
        <w:tblLook w:firstColumn="1" w:firstRow="1" w:lastColumn="0" w:lastRow="0" w:noHBand="0" w:noVBand="1" w:val="04A0"/>
      </w:tblPr>
      <w:tblGrid>
        <w:gridCol w:w="4986"/>
        <w:gridCol w:w="4986"/>
      </w:tblGrid>
      <w:tr>
        <w:tc>
          <w:tcPr>
            <w:tcW w:type="dxa" w:w="8220"/>
          </w:tcPr>
          <w:p>
            <w:pPr>
              <w:spacing w:after="40" w:before="40"/>
              <w:jc w:val="center"/>
            </w:pPr>
            <m:oMath>
              <m:sSup>
                <m:e>
                  <m:r>
                    <m:t xml:space="preserve">κ</m:t>
                  </m:r>
                </m:e>
                <m:sup>
                  <m:r>
                    <m:rPr>
                      <m:sty m:val="p"/>
                    </m:rPr>
                    <m:t xml:space="preserve">−1</m:t>
                  </m:r>
                </m:sup>
              </m:sSup>
              <m:r>
                <m:rPr>
                  <m:sty m:val="p"/>
                </m:rPr>
                <m:t xml:space="preserve"> = </m:t>
              </m:r>
              <m:rad>
                <m:radPr>
                  <m:degHide m:val="1"/>
                </m:radPr>
                <m:deg/>
                <m:e>
                  <m:f>
                    <m:num>
                      <m:r>
                        <m:t xml:space="preserve">ε</m:t>
                      </m:r>
                      <m:sSub>
                        <m:e>
                          <m:r>
                            <m:t xml:space="preserve">ε</m:t>
                          </m:r>
                        </m:e>
                        <m:sub>
                          <m:r>
                            <m:rPr>
                              <m:sty m:val="p"/>
                            </m:rPr>
                            <m:t xml:space="preserve">0</m:t>
                          </m:r>
                        </m:sub>
                      </m:sSub>
                      <m:sSub>
                        <m:e>
                          <m:r>
                            <m:t xml:space="preserve">k</m:t>
                          </m:r>
                        </m:e>
                        <m:sub>
                          <m:r>
                            <m:rPr>
                              <m:sty m:val="p"/>
                            </m:rPr>
                            <m:t xml:space="preserve">B</m:t>
                          </m:r>
                        </m:sub>
                      </m:sSub>
                      <m:r>
                        <m:t xml:space="preserve">T</m:t>
                      </m:r>
                    </m:num>
                    <m:den>
                      <m:r>
                        <m:rPr>
                          <m:sty m:val="p"/>
                        </m:rPr>
                        <m:t xml:space="preserve">2</m:t>
                      </m:r>
                      <m:sSub>
                        <m:e>
                          <m:r>
                            <m:t xml:space="preserve">N</m:t>
                          </m:r>
                        </m:e>
                        <m:sub>
                          <m:r>
                            <m:rPr>
                              <m:sty m:val="p"/>
                            </m:rPr>
                            <m:t xml:space="preserve">A</m:t>
                          </m:r>
                        </m:sub>
                      </m:sSub>
                      <m:sSup>
                        <m:e>
                          <m:r>
                            <m:t xml:space="preserve">e</m:t>
                          </m:r>
                        </m:e>
                        <m:sup>
                          <m:r>
                            <m:rPr>
                              <m:sty m:val="p"/>
                            </m:rPr>
                            <m:t xml:space="preserve">2</m:t>
                          </m:r>
                        </m:sup>
                      </m:sSup>
                      <m:r>
                        <m:t xml:space="preserve">I</m:t>
                      </m:r>
                    </m:den>
                  </m:f>
                </m:e>
              </m:rad>
            </m:oMath>
          </w:p>
        </w:tc>
        <w:tc>
          <w:tcPr>
            <w:tcW w:type="dxa" w:w="1134"/>
          </w:tcPr>
          <w:p>
            <w:pPr>
              <w:spacing w:after="40" w:before="40"/>
              <w:jc w:val="right"/>
            </w:pPr>
            <w:r>
              <w:t>(10)</w:t>
            </w:r>
          </w:p>
        </w:tc>
      </w:tr>
    </w:tbl>
    <w:p>
      <w:pPr>
        <w:spacing w:after="120"/>
        <w:jc w:val="both"/>
      </w:pPr>
      <w:r>
        <w:t xml:space="preserve">bu yerda </w:t>
      </w:r>
      <m:oMath>
        <m:r>
          <m:t xml:space="preserve">I</m:t>
        </m:r>
      </m:oMath>
      <w:r>
        <w:rPr>
          <w:b w:val="0"/>
          <w:i w:val="0"/>
        </w:rPr>
        <w:t xml:space="preserve"> — eritmaning ion kuchi. Suvda 25 °C da: 1 mM NaCl → ≈ 10 nm, 100 mM → ≈ 1 nm.</w:t>
      </w:r>
    </w:p>
    <w:p>
      <w:pPr>
        <w:jc w:val="both"/>
      </w:pPr>
      <w:r>
        <w:rPr>
          <w:b w:val="0"/>
          <w:i w:val="0"/>
        </w:rPr>
        <w:t>Sirt modifikatsiyasining vazifasi energetik to'siq balandligini (&gt; 15–25 kT) ta'minlab, zarrachalarni birlamchi minimumga tushishdan (qaytmas koagulyatsiyadan) saqlashdir.</w:t>
      </w:r>
    </w:p>
    <w:p>
      <w:pPr>
        <w:pStyle w:val="ListBullet"/>
        <w:spacing w:after="40"/>
        <w:jc w:val="both"/>
      </w:pPr>
      <w:r>
        <w:rPr>
          <w:b/>
          <w:i w:val="0"/>
        </w:rPr>
        <w:t xml:space="preserve">Elektrostatik stabilizatsiya: </w:t>
      </w:r>
      <w:r>
        <w:rPr>
          <w:b w:val="0"/>
          <w:i w:val="0"/>
        </w:rPr>
        <w:t>ionogen ligandlar (sitrat, SDS, CTAB) qo'sh elektr qavat hosil qiladi; |ζ| &gt; 30 mV — barqaror, |ζ| &lt; 10 mV — koagulyatsiyaga moyil. Elektrolit qo'shilishi Debay uzunligini qisqartirib, Shulse–Gardi qoidasi bo'yicha (koagulyatsiya ostonasi ∝ 1/z⁶) koagulyatsiya chaqiradi.</w:t>
      </w:r>
    </w:p>
    <w:p>
      <w:pPr>
        <w:pStyle w:val="ListBullet"/>
        <w:spacing w:after="40"/>
        <w:jc w:val="both"/>
      </w:pPr>
      <w:r>
        <w:rPr>
          <w:b/>
          <w:i w:val="0"/>
        </w:rPr>
        <w:t xml:space="preserve">Sterik stabilizatsiya: </w:t>
      </w:r>
      <w:r>
        <w:rPr>
          <w:b w:val="0"/>
          <w:i w:val="0"/>
        </w:rPr>
        <w:t>adsorbsiyalangan/kovalent bog'langan polimerlar (PEG, PVP, PVA, dekstran) entropik to'siq hosil qiladi; ion kuchi va pH ga sezgir emas, shuning uchun biologik muhitlarda afzal.</w:t>
      </w:r>
    </w:p>
    <w:p>
      <w:pPr>
        <w:pStyle w:val="ListBullet"/>
        <w:spacing w:after="40"/>
        <w:jc w:val="both"/>
      </w:pPr>
      <w:r>
        <w:rPr>
          <w:b/>
          <w:i w:val="0"/>
        </w:rPr>
        <w:t xml:space="preserve">Elektrosterik: </w:t>
      </w:r>
      <w:r>
        <w:rPr>
          <w:b w:val="0"/>
          <w:i w:val="0"/>
        </w:rPr>
        <w:t>polielektrolitlar (PAA, xitozan) ikkala mexanizmni birlashtiradi.</w:t>
      </w:r>
    </w:p>
    <w:p>
      <w:pPr>
        <w:pStyle w:val="ListBullet"/>
        <w:spacing w:after="40"/>
        <w:jc w:val="both"/>
      </w:pPr>
      <w:r>
        <w:rPr>
          <w:b/>
          <w:i w:val="0"/>
        </w:rPr>
        <w:t xml:space="preserve">Kimyoviy funksionallash: </w:t>
      </w:r>
      <w:r>
        <w:rPr>
          <w:b w:val="0"/>
          <w:i w:val="0"/>
        </w:rPr>
        <w:t>tiol–Au (≈ 200 kJ/mol), silanlar (APTES) – oksidlar, fosfonatlar/oleat – Fe₃O₄, TiO₂. Terminal guruhlar (–COOH, –NH₂, –SH) keyingi konyugatsiya (antitelo, dori, bo'yoq) uchun "yakor" bo'ladi.</w:t>
      </w:r>
    </w:p>
    <w:p>
      <w:pPr>
        <w:pStyle w:val="ListBullet"/>
        <w:spacing w:after="40"/>
        <w:jc w:val="both"/>
      </w:pPr>
      <w:r>
        <w:rPr>
          <w:b/>
          <w:i w:val="0"/>
        </w:rPr>
        <w:t xml:space="preserve">Core–shell tuzilmalar: </w:t>
      </w:r>
      <w:r>
        <w:rPr>
          <w:b w:val="0"/>
          <w:i w:val="0"/>
        </w:rPr>
        <w:t>SiO₂ yoki Au qobiq yadroni oksidlanish/erishdan saqlaydi, toksiklikni kamaytiradi, optik va magnit xossalarni birlashtiradi (Fe₃O₄@SiO₂, CdSe@ZnS — kvant chiqish 2–3 marta ortadi).</w:t>
      </w:r>
    </w:p>
    <w:p>
      <w:pPr>
        <w:spacing w:after="40"/>
        <w:jc w:val="both"/>
      </w:pPr>
      <w:r>
        <w:rPr>
          <w:b/>
          <w:i w:val="0"/>
        </w:rPr>
        <w:t>Modifikatsiya natijasida o'zgaradigan xossalar:</w:t>
      </w:r>
    </w:p>
    <w:tbl>
      <w:tblPr>
        <w:tblStyle w:val="TableGrid"/>
        <w:tblW w:type="auto" w:w="0"/>
        <w:jc w:val="center"/>
        <w:tblLook w:firstColumn="1" w:firstRow="1" w:lastColumn="0" w:lastRow="0" w:noHBand="0" w:noVBand="1" w:val="04A0"/>
      </w:tblPr>
      <w:tblGrid>
        <w:gridCol w:w="3324"/>
        <w:gridCol w:w="3324"/>
        <w:gridCol w:w="3324"/>
      </w:tblGrid>
      <w:tr>
        <w:tc>
          <w:tcPr>
            <w:tcW w:type="dxa" w:w="2381"/>
            <w:shd w:val="clear" w:color="auto" w:fill="DCE6F1"/>
          </w:tcPr>
          <w:p>
            <w:pPr>
              <w:jc w:val="center"/>
            </w:pPr>
            <w:r/>
            <w:r>
              <w:rPr>
                <w:b/>
                <w:sz w:val="22"/>
              </w:rPr>
              <w:t>Xossa</w:t>
            </w:r>
          </w:p>
        </w:tc>
        <w:tc>
          <w:tcPr>
            <w:tcW w:type="dxa" w:w="3005"/>
            <w:shd w:val="clear" w:color="auto" w:fill="DCE6F1"/>
          </w:tcPr>
          <w:p>
            <w:pPr>
              <w:jc w:val="center"/>
            </w:pPr>
            <w:r/>
            <w:r>
              <w:rPr>
                <w:b/>
                <w:sz w:val="22"/>
              </w:rPr>
              <w:t>Modifikatsiya ta'siri</w:t>
            </w:r>
          </w:p>
        </w:tc>
        <w:tc>
          <w:tcPr>
            <w:tcW w:type="dxa" w:w="3969"/>
            <w:shd w:val="clear" w:color="auto" w:fill="DCE6F1"/>
          </w:tcPr>
          <w:p>
            <w:pPr>
              <w:jc w:val="center"/>
            </w:pPr>
            <w:r/>
            <w:r>
              <w:rPr>
                <w:b/>
                <w:sz w:val="22"/>
              </w:rPr>
              <w:t>Misol</w:t>
            </w:r>
          </w:p>
        </w:tc>
      </w:tr>
      <w:tr>
        <w:tc>
          <w:tcPr>
            <w:tcW w:type="dxa" w:w="2381"/>
          </w:tcPr>
          <w:p>
            <w:r/>
            <w:r>
              <w:rPr>
                <w:sz w:val="22"/>
              </w:rPr>
              <w:t>Agregativ barqarorlik</w:t>
            </w:r>
          </w:p>
        </w:tc>
        <w:tc>
          <w:tcPr>
            <w:tcW w:type="dxa" w:w="3005"/>
          </w:tcPr>
          <w:p>
            <w:r/>
            <w:r>
              <w:rPr>
                <w:sz w:val="22"/>
              </w:rPr>
              <w:t>to'siq ↑, koagulyatsiya ostonasi ↑</w:t>
            </w:r>
          </w:p>
        </w:tc>
        <w:tc>
          <w:tcPr>
            <w:tcW w:type="dxa" w:w="3969"/>
          </w:tcPr>
          <w:p>
            <w:r/>
            <w:r>
              <w:rPr>
                <w:sz w:val="22"/>
              </w:rPr>
              <w:t>Sitrat-Au → PEG-Au: 0,15 M NaCl da barqaror</w:t>
            </w:r>
          </w:p>
        </w:tc>
      </w:tr>
      <w:tr>
        <w:tc>
          <w:tcPr>
            <w:tcW w:type="dxa" w:w="2381"/>
          </w:tcPr>
          <w:p>
            <w:r/>
            <w:r>
              <w:rPr>
                <w:sz w:val="22"/>
              </w:rPr>
              <w:t>Gidrofil/gidrofob balans</w:t>
            </w:r>
          </w:p>
        </w:tc>
        <w:tc>
          <w:tcPr>
            <w:tcW w:type="dxa" w:w="3005"/>
          </w:tcPr>
          <w:p>
            <w:r/>
            <w:r>
              <w:rPr>
                <w:sz w:val="22"/>
              </w:rPr>
              <w:t>dispers muhitga moslashish</w:t>
            </w:r>
          </w:p>
        </w:tc>
        <w:tc>
          <w:tcPr>
            <w:tcW w:type="dxa" w:w="3969"/>
          </w:tcPr>
          <w:p>
            <w:r/>
            <w:r>
              <w:rPr>
                <w:sz w:val="22"/>
              </w:rPr>
              <w:t>Oleat-Fe₃O₄ (geksan) → DMSA-Fe₃O₄ (suv)</w:t>
            </w:r>
          </w:p>
        </w:tc>
      </w:tr>
      <w:tr>
        <w:tc>
          <w:tcPr>
            <w:tcW w:type="dxa" w:w="2381"/>
          </w:tcPr>
          <w:p>
            <w:r/>
            <w:r>
              <w:rPr>
                <w:sz w:val="22"/>
              </w:rPr>
              <w:t>Gidrodinamik diametr</w:t>
            </w:r>
          </w:p>
        </w:tc>
        <w:tc>
          <w:tcPr>
            <w:tcW w:type="dxa" w:w="3005"/>
          </w:tcPr>
          <w:p>
            <w:r/>
            <w:r>
              <w:rPr>
                <w:sz w:val="22"/>
              </w:rPr>
              <w:t>ortadi (qobiq qalinligi)</w:t>
            </w:r>
          </w:p>
        </w:tc>
        <w:tc>
          <w:tcPr>
            <w:tcW w:type="dxa" w:w="3969"/>
          </w:tcPr>
          <w:p>
            <w:r/>
            <w:r>
              <w:rPr>
                <w:sz w:val="22"/>
              </w:rPr>
              <w:t>TEM 10 nm, DLS 25–30 nm</w:t>
            </w:r>
          </w:p>
        </w:tc>
      </w:tr>
      <w:tr>
        <w:tc>
          <w:tcPr>
            <w:tcW w:type="dxa" w:w="2381"/>
          </w:tcPr>
          <w:p>
            <w:r/>
            <w:r>
              <w:rPr>
                <w:sz w:val="22"/>
              </w:rPr>
              <w:t>ζ-potensial</w:t>
            </w:r>
          </w:p>
        </w:tc>
        <w:tc>
          <w:tcPr>
            <w:tcW w:type="dxa" w:w="3005"/>
          </w:tcPr>
          <w:p>
            <w:r/>
            <w:r>
              <w:rPr>
                <w:sz w:val="22"/>
              </w:rPr>
              <w:t>ishorasi va kattaligi o'zgaradi</w:t>
            </w:r>
          </w:p>
        </w:tc>
        <w:tc>
          <w:tcPr>
            <w:tcW w:type="dxa" w:w="3969"/>
          </w:tcPr>
          <w:p>
            <w:r/>
            <w:r>
              <w:rPr>
                <w:sz w:val="22"/>
              </w:rPr>
              <w:t>–40 mV (sitrat) → +35 mV (CTAB)</w:t>
            </w:r>
          </w:p>
        </w:tc>
      </w:tr>
      <w:tr>
        <w:tc>
          <w:tcPr>
            <w:tcW w:type="dxa" w:w="2381"/>
          </w:tcPr>
          <w:p>
            <w:r/>
            <w:r>
              <w:rPr>
                <w:sz w:val="22"/>
              </w:rPr>
              <w:t>Optik / lyuminessensiya</w:t>
            </w:r>
          </w:p>
        </w:tc>
        <w:tc>
          <w:tcPr>
            <w:tcW w:type="dxa" w:w="3005"/>
          </w:tcPr>
          <w:p>
            <w:r/>
            <w:r>
              <w:rPr>
                <w:sz w:val="22"/>
              </w:rPr>
              <w:t>SPR siljishi, kvant chiqish ↑</w:t>
            </w:r>
          </w:p>
        </w:tc>
        <w:tc>
          <w:tcPr>
            <w:tcW w:type="dxa" w:w="3969"/>
          </w:tcPr>
          <w:p>
            <w:r/>
            <w:r>
              <w:rPr>
                <w:sz w:val="22"/>
              </w:rPr>
              <w:t>CdSe → CdSe@ZnS</w:t>
            </w:r>
          </w:p>
        </w:tc>
      </w:tr>
      <w:tr>
        <w:tc>
          <w:tcPr>
            <w:tcW w:type="dxa" w:w="2381"/>
          </w:tcPr>
          <w:p>
            <w:r/>
            <w:r>
              <w:rPr>
                <w:sz w:val="22"/>
              </w:rPr>
              <w:t>Biouyg'unlik</w:t>
            </w:r>
          </w:p>
        </w:tc>
        <w:tc>
          <w:tcPr>
            <w:tcW w:type="dxa" w:w="3005"/>
          </w:tcPr>
          <w:p>
            <w:r/>
            <w:r>
              <w:rPr>
                <w:sz w:val="22"/>
              </w:rPr>
              <w:t>opsonizatsiya ↓, sirkulyatsiya ↑</w:t>
            </w:r>
          </w:p>
        </w:tc>
        <w:tc>
          <w:tcPr>
            <w:tcW w:type="dxa" w:w="3969"/>
          </w:tcPr>
          <w:p>
            <w:r/>
            <w:r>
              <w:rPr>
                <w:sz w:val="22"/>
              </w:rPr>
              <w:t>PEGillangan liposomalar ("stealth")</w:t>
            </w:r>
          </w:p>
        </w:tc>
      </w:tr>
    </w:tbl>
    <w:p>
      <w:pPr>
        <w:spacing w:after="40"/>
      </w:pPr>
    </w:p>
    <w:p>
      <w:pPr>
        <w:pStyle w:val="Heading2"/>
      </w:pPr>
      <w:r>
        <w:t>4.5. Tadqiqot va nazorat usullari</w:t>
      </w:r>
    </w:p>
    <w:p>
      <w:pPr>
        <w:jc w:val="both"/>
      </w:pPr>
      <w:r>
        <w:rPr>
          <w:b w:val="0"/>
          <w:i w:val="0"/>
        </w:rPr>
        <w:t>Kristallit o'lchami rentgen difraktogrammasidagi cho'qqi kengayishidan Sherrer tenglamasi orqali topiladi:</w:t>
      </w:r>
    </w:p>
    <w:tbl>
      <w:tblPr>
        <w:tblW w:type="auto" w:w="0"/>
        <w:jc w:val="center"/>
        <w:tblLook w:firstColumn="1" w:firstRow="1" w:lastColumn="0" w:lastRow="0" w:noHBand="0" w:noVBand="1" w:val="04A0"/>
      </w:tblPr>
      <w:tblGrid>
        <w:gridCol w:w="4986"/>
        <w:gridCol w:w="4986"/>
      </w:tblGrid>
      <w:tr>
        <w:tc>
          <w:tcPr>
            <w:tcW w:type="dxa" w:w="8220"/>
          </w:tcPr>
          <w:p>
            <w:pPr>
              <w:spacing w:after="40" w:before="40"/>
              <w:jc w:val="center"/>
            </w:pPr>
            <m:oMath>
              <m:r>
                <m:t xml:space="preserve">D</m:t>
              </m:r>
              <m:r>
                <m:rPr>
                  <m:sty m:val="p"/>
                </m:rPr>
                <m:t xml:space="preserve"> = </m:t>
              </m:r>
              <m:f>
                <m:num>
                  <m:r>
                    <m:t xml:space="preserve">K</m:t>
                  </m:r>
                  <m:r>
                    <m:t xml:space="preserve">λ</m:t>
                  </m:r>
                </m:num>
                <m:den>
                  <m:r>
                    <m:t xml:space="preserve">β</m:t>
                  </m:r>
                  <m:r>
                    <m:rPr>
                      <m:sty m:val="p"/>
                    </m:rPr>
                    <m:t xml:space="preserve">cos</m:t>
                  </m:r>
                  <m:r>
                    <m:t xml:space="preserve">θ</m:t>
                  </m:r>
                </m:den>
              </m:f>
            </m:oMath>
          </w:p>
        </w:tc>
        <w:tc>
          <w:tcPr>
            <w:tcW w:type="dxa" w:w="1134"/>
          </w:tcPr>
          <w:p>
            <w:pPr>
              <w:spacing w:after="40" w:before="40"/>
              <w:jc w:val="right"/>
            </w:pPr>
            <w:r>
              <w:t>(11)</w:t>
            </w:r>
          </w:p>
        </w:tc>
      </w:tr>
    </w:tbl>
    <w:p>
      <w:pPr>
        <w:spacing w:after="120"/>
        <w:jc w:val="both"/>
      </w:pPr>
      <w:r>
        <w:t xml:space="preserve">bu yerda </w:t>
      </w:r>
      <m:oMath>
        <m:r>
          <m:t xml:space="preserve">K</m:t>
        </m:r>
        <m:r>
          <m:rPr>
            <m:sty m:val="p"/>
          </m:rPr>
          <m:t xml:space="preserve"> ≈ 0,9</m:t>
        </m:r>
      </m:oMath>
      <w:r>
        <w:rPr>
          <w:b w:val="0"/>
          <w:i w:val="0"/>
        </w:rPr>
        <w:t xml:space="preserve"> — shakl omili, </w:t>
      </w:r>
      <m:oMath>
        <m:r>
          <m:t xml:space="preserve">λ</m:t>
        </m:r>
      </m:oMath>
      <w:r>
        <w:rPr>
          <w:b w:val="0"/>
          <w:i w:val="0"/>
        </w:rPr>
        <w:t xml:space="preserve"> — rentgen nurlanish to'lqin uzunligi, </w:t>
      </w:r>
      <m:oMath>
        <m:r>
          <m:t xml:space="preserve">β</m:t>
        </m:r>
      </m:oMath>
      <w:r>
        <w:rPr>
          <w:b w:val="0"/>
          <w:i w:val="0"/>
        </w:rPr>
        <w:t xml:space="preserve"> — cho'qqining yarim balandlikdagi kengligi (radianlarda), </w:t>
      </w:r>
      <m:oMath>
        <m:r>
          <m:t xml:space="preserve">θ</m:t>
        </m:r>
      </m:oMath>
      <w:r>
        <w:rPr>
          <w:b w:val="0"/>
          <w:i w:val="0"/>
        </w:rPr>
        <w:t xml:space="preserve"> — Bregg burchagi.</w:t>
      </w:r>
    </w:p>
    <w:p>
      <w:pPr>
        <w:jc w:val="both"/>
      </w:pPr>
      <w:r>
        <w:rPr>
          <w:b w:val="0"/>
          <w:i w:val="0"/>
        </w:rPr>
        <w:t xml:space="preserve">Gidrodinamik diametr DLS usulida Stoks–Eynshteyn tenglamasi (6) orqali o'lchangan diffuziya koeffitsientidan hisoblanadi: </w:t>
      </w:r>
      <m:oMath>
        <m:sSub>
          <m:e>
            <m:r>
              <m:t xml:space="preserve">d</m:t>
            </m:r>
          </m:e>
          <m:sub>
            <m:r>
              <m:t xml:space="preserve">H</m:t>
            </m:r>
          </m:sub>
        </m:sSub>
        <m:r>
          <m:rPr>
            <m:sty m:val="p"/>
          </m:rPr>
          <m:t xml:space="preserve"> = </m:t>
        </m:r>
        <m:f>
          <m:num>
            <m:sSub>
              <m:e>
                <m:r>
                  <m:t xml:space="preserve">k</m:t>
                </m:r>
              </m:e>
              <m:sub>
                <m:r>
                  <m:rPr>
                    <m:sty m:val="p"/>
                  </m:rPr>
                  <m:t xml:space="preserve">B</m:t>
                </m:r>
              </m:sub>
            </m:sSub>
            <m:r>
              <m:t xml:space="preserve">T</m:t>
            </m:r>
          </m:num>
          <m:den>
            <m:r>
              <m:rPr>
                <m:sty m:val="p"/>
              </m:rPr>
              <m:t xml:space="preserve">3</m:t>
            </m:r>
            <m:r>
              <m:t xml:space="preserve">π</m:t>
            </m:r>
            <m:r>
              <m:t xml:space="preserve">η</m:t>
            </m:r>
            <m:r>
              <m:t xml:space="preserve">D</m:t>
            </m:r>
          </m:den>
        </m:f>
      </m:oMath>
      <w:r>
        <w:rPr>
          <w:b w:val="0"/>
          <w:i w:val="0"/>
        </w:rPr>
        <w:t>.</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DCE6F1"/>
          </w:tcPr>
          <w:p>
            <w:pPr>
              <w:jc w:val="center"/>
            </w:pPr>
            <w:r/>
            <w:r>
              <w:rPr>
                <w:b/>
                <w:sz w:val="22"/>
              </w:rPr>
              <w:t>Usul</w:t>
            </w:r>
          </w:p>
        </w:tc>
        <w:tc>
          <w:tcPr>
            <w:tcW w:type="dxa" w:w="3402"/>
            <w:shd w:val="clear" w:color="auto" w:fill="DCE6F1"/>
          </w:tcPr>
          <w:p>
            <w:pPr>
              <w:jc w:val="center"/>
            </w:pPr>
            <w:r/>
            <w:r>
              <w:rPr>
                <w:b/>
                <w:sz w:val="22"/>
              </w:rPr>
              <w:t>Aniqlanadigan parametr</w:t>
            </w:r>
          </w:p>
        </w:tc>
        <w:tc>
          <w:tcPr>
            <w:tcW w:type="dxa" w:w="3685"/>
            <w:shd w:val="clear" w:color="auto" w:fill="DCE6F1"/>
          </w:tcPr>
          <w:p>
            <w:pPr>
              <w:jc w:val="center"/>
            </w:pPr>
            <w:r/>
            <w:r>
              <w:rPr>
                <w:b/>
                <w:sz w:val="22"/>
              </w:rPr>
              <w:t>Izoh</w:t>
            </w:r>
          </w:p>
        </w:tc>
      </w:tr>
      <w:tr>
        <w:tc>
          <w:tcPr>
            <w:tcW w:type="dxa" w:w="2268"/>
          </w:tcPr>
          <w:p>
            <w:r/>
            <w:r>
              <w:rPr>
                <w:sz w:val="22"/>
              </w:rPr>
              <w:t>DLS</w:t>
            </w:r>
          </w:p>
        </w:tc>
        <w:tc>
          <w:tcPr>
            <w:tcW w:type="dxa" w:w="3402"/>
          </w:tcPr>
          <w:p>
            <w:r/>
            <w:r>
              <w:rPr>
                <w:sz w:val="22"/>
              </w:rPr>
              <w:t>gidrodinamik diametr, PDI</w:t>
            </w:r>
          </w:p>
        </w:tc>
        <w:tc>
          <w:tcPr>
            <w:tcW w:type="dxa" w:w="3685"/>
          </w:tcPr>
          <w:p>
            <w:r/>
            <w:r>
              <w:rPr>
                <w:sz w:val="22"/>
              </w:rPr>
              <w:t>qobiq va solvat qavat bilan birga</w:t>
            </w:r>
          </w:p>
        </w:tc>
      </w:tr>
      <w:tr>
        <w:tc>
          <w:tcPr>
            <w:tcW w:type="dxa" w:w="2268"/>
          </w:tcPr>
          <w:p>
            <w:r/>
            <w:r>
              <w:rPr>
                <w:sz w:val="22"/>
              </w:rPr>
              <w:t>ζ-potensial (ELS)</w:t>
            </w:r>
          </w:p>
        </w:tc>
        <w:tc>
          <w:tcPr>
            <w:tcW w:type="dxa" w:w="3402"/>
          </w:tcPr>
          <w:p>
            <w:r/>
            <w:r>
              <w:rPr>
                <w:sz w:val="22"/>
              </w:rPr>
              <w:t>sirt zaryadi, barqarorlik</w:t>
            </w:r>
          </w:p>
        </w:tc>
        <w:tc>
          <w:tcPr>
            <w:tcW w:type="dxa" w:w="3685"/>
          </w:tcPr>
          <w:p>
            <w:r/>
            <w:r>
              <w:rPr>
                <w:sz w:val="22"/>
              </w:rPr>
              <w:t>pH va ion kuchiga bog'liq</w:t>
            </w:r>
          </w:p>
        </w:tc>
      </w:tr>
      <w:tr>
        <w:tc>
          <w:tcPr>
            <w:tcW w:type="dxa" w:w="2268"/>
          </w:tcPr>
          <w:p>
            <w:r/>
            <w:r>
              <w:rPr>
                <w:sz w:val="22"/>
              </w:rPr>
              <w:t>TEM / SEM</w:t>
            </w:r>
          </w:p>
        </w:tc>
        <w:tc>
          <w:tcPr>
            <w:tcW w:type="dxa" w:w="3402"/>
          </w:tcPr>
          <w:p>
            <w:r/>
            <w:r>
              <w:rPr>
                <w:sz w:val="22"/>
              </w:rPr>
              <w:t>haqiqiy o'lcham, shakl, qobiq</w:t>
            </w:r>
          </w:p>
        </w:tc>
        <w:tc>
          <w:tcPr>
            <w:tcW w:type="dxa" w:w="3685"/>
          </w:tcPr>
          <w:p>
            <w:r/>
            <w:r>
              <w:rPr>
                <w:sz w:val="22"/>
              </w:rPr>
              <w:t>"quruq" o'lcham</w:t>
            </w:r>
          </w:p>
        </w:tc>
      </w:tr>
      <w:tr>
        <w:tc>
          <w:tcPr>
            <w:tcW w:type="dxa" w:w="2268"/>
          </w:tcPr>
          <w:p>
            <w:r/>
            <w:r>
              <w:rPr>
                <w:sz w:val="22"/>
              </w:rPr>
              <w:t>XRD (Sherrer)</w:t>
            </w:r>
          </w:p>
        </w:tc>
        <w:tc>
          <w:tcPr>
            <w:tcW w:type="dxa" w:w="3402"/>
          </w:tcPr>
          <w:p>
            <w:r/>
            <w:r>
              <w:rPr>
                <w:sz w:val="22"/>
              </w:rPr>
              <w:t>kristallit o'lchami, faza</w:t>
            </w:r>
          </w:p>
        </w:tc>
        <w:tc>
          <w:tcPr>
            <w:tcW w:type="dxa" w:w="3685"/>
          </w:tcPr>
          <w:p>
            <w:r/>
            <w:r>
              <w:rPr>
                <w:sz w:val="22"/>
              </w:rPr>
              <w:t>tenglama (11)</w:t>
            </w:r>
          </w:p>
        </w:tc>
      </w:tr>
      <w:tr>
        <w:tc>
          <w:tcPr>
            <w:tcW w:type="dxa" w:w="2268"/>
          </w:tcPr>
          <w:p>
            <w:r/>
            <w:r>
              <w:rPr>
                <w:sz w:val="22"/>
              </w:rPr>
              <w:t>UV-Vis</w:t>
            </w:r>
          </w:p>
        </w:tc>
        <w:tc>
          <w:tcPr>
            <w:tcW w:type="dxa" w:w="3402"/>
          </w:tcPr>
          <w:p>
            <w:r/>
            <w:r>
              <w:rPr>
                <w:sz w:val="22"/>
              </w:rPr>
              <w:t>SPR / taqiqlangan zona, agregatsiya</w:t>
            </w:r>
          </w:p>
        </w:tc>
        <w:tc>
          <w:tcPr>
            <w:tcW w:type="dxa" w:w="3685"/>
          </w:tcPr>
          <w:p>
            <w:r/>
            <w:r>
              <w:rPr>
                <w:sz w:val="22"/>
              </w:rPr>
              <w:t>tez va arzon nazorat</w:t>
            </w:r>
          </w:p>
        </w:tc>
      </w:tr>
      <w:tr>
        <w:tc>
          <w:tcPr>
            <w:tcW w:type="dxa" w:w="2268"/>
          </w:tcPr>
          <w:p>
            <w:r/>
            <w:r>
              <w:rPr>
                <w:sz w:val="22"/>
              </w:rPr>
              <w:t>FTIR, TGA</w:t>
            </w:r>
          </w:p>
        </w:tc>
        <w:tc>
          <w:tcPr>
            <w:tcW w:type="dxa" w:w="3402"/>
          </w:tcPr>
          <w:p>
            <w:r/>
            <w:r>
              <w:rPr>
                <w:sz w:val="22"/>
              </w:rPr>
              <w:t>ligand bog'lanishi va miqdori</w:t>
            </w:r>
          </w:p>
        </w:tc>
        <w:tc>
          <w:tcPr>
            <w:tcW w:type="dxa" w:w="3685"/>
          </w:tcPr>
          <w:p>
            <w:r/>
            <w:r>
              <w:rPr>
                <w:sz w:val="22"/>
              </w:rPr>
              <w:t>sirt kimyosi</w:t>
            </w:r>
          </w:p>
        </w:tc>
      </w:tr>
      <w:tr>
        <w:tc>
          <w:tcPr>
            <w:tcW w:type="dxa" w:w="2268"/>
          </w:tcPr>
          <w:p>
            <w:r/>
            <w:r>
              <w:rPr>
                <w:sz w:val="22"/>
              </w:rPr>
              <w:t>BET (N₂ adsorbsiya)</w:t>
            </w:r>
          </w:p>
        </w:tc>
        <w:tc>
          <w:tcPr>
            <w:tcW w:type="dxa" w:w="3402"/>
          </w:tcPr>
          <w:p>
            <w:r/>
            <w:r>
              <w:rPr>
                <w:sz w:val="22"/>
              </w:rPr>
              <w:t>solishtirma sirt, g'ovaklik</w:t>
            </w:r>
          </w:p>
        </w:tc>
        <w:tc>
          <w:tcPr>
            <w:tcW w:type="dxa" w:w="3685"/>
          </w:tcPr>
          <w:p>
            <w:r/>
            <w:r>
              <w:rPr>
                <w:sz w:val="22"/>
              </w:rPr>
              <w:t>kukun holatida</w:t>
            </w:r>
          </w:p>
        </w:tc>
      </w:tr>
    </w:tbl>
    <w:p>
      <w:pPr>
        <w:spacing w:after="40"/>
      </w:pPr>
    </w:p>
    <w:p>
      <w:pPr>
        <w:pStyle w:val="Heading2"/>
      </w:pPr>
      <w:r>
        <w:t>4.6. Amaliy ahamiyati</w:t>
      </w:r>
    </w:p>
    <w:p>
      <w:pPr>
        <w:pStyle w:val="ListBullet"/>
        <w:spacing w:after="40"/>
        <w:jc w:val="both"/>
      </w:pPr>
      <w:r>
        <w:rPr>
          <w:b w:val="0"/>
          <w:i w:val="0"/>
        </w:rPr>
        <w:t>Tibbiyot: o'lcham (10–100 nm) va PEG qobiq EPR effekti orqali o'smaga tanlab to'planishni ta'minlaydi; Au nanotayoqchalar — fototermal terapiya; Fe₃O₄ — MRT va gipertermiya.</w:t>
      </w:r>
    </w:p>
    <w:p>
      <w:pPr>
        <w:pStyle w:val="ListBullet"/>
        <w:spacing w:after="40"/>
        <w:jc w:val="both"/>
      </w:pPr>
      <w:r>
        <w:rPr>
          <w:b w:val="0"/>
          <w:i w:val="0"/>
        </w:rPr>
        <w:t>Kataliz: o'lchami 2–5 nm va aniq yuzali Pt, Pd, Au nanozarrachalar — selektiv gidrogenlash va oksidlanish.</w:t>
      </w:r>
    </w:p>
    <w:p>
      <w:pPr>
        <w:pStyle w:val="ListBullet"/>
        <w:spacing w:after="40"/>
        <w:jc w:val="both"/>
      </w:pPr>
      <w:r>
        <w:rPr>
          <w:b w:val="0"/>
          <w:i w:val="0"/>
        </w:rPr>
        <w:t>Ekologiya va energetika: TiO₂, ZnO nanokolloidlar — fotokataliz va suvni tozalash; kvant nuqtalar — displeylar va quyosh elementlari.</w:t>
      </w:r>
    </w:p>
    <w:p>
      <w:pPr>
        <w:pStyle w:val="ListBullet"/>
        <w:spacing w:after="40"/>
        <w:jc w:val="both"/>
      </w:pPr>
      <w:r>
        <w:rPr>
          <w:b w:val="0"/>
          <w:i w:val="0"/>
        </w:rPr>
        <w:t>Sensorika: Au/Ag zollarining agregatsiyaga bog'liq rang o'zgarishi — og'ir metallar va biomolekulalarni kolorimetrik aniqlash.</w:t>
      </w:r>
    </w:p>
    <w:p>
      <w:pPr>
        <w:pStyle w:val="Heading1"/>
      </w:pPr>
      <w:r>
        <w:t>5. Xulosa</w:t>
      </w:r>
    </w:p>
    <w:p>
      <w:pPr>
        <w:spacing w:after="40"/>
        <w:ind w:left="425" w:hanging="283"/>
        <w:jc w:val="both"/>
      </w:pPr>
      <w:r>
        <w:t xml:space="preserve">1. </w:t>
      </w:r>
      <w:r>
        <w:rPr>
          <w:b w:val="0"/>
          <w:i w:val="0"/>
        </w:rPr>
        <w:t>Nanokolloidlarda xossalar tarkibdan ko'ra tuzilma bilan boshqariladi: o'lcham → termodinamika va kvant effektlari; shakl → anizotropiya va selektivlik; sirt → barqarorlik va funksionallik.</w:t>
      </w:r>
    </w:p>
    <w:p>
      <w:pPr>
        <w:spacing w:after="40"/>
        <w:ind w:left="425" w:hanging="283"/>
        <w:jc w:val="both"/>
      </w:pPr>
      <w:r>
        <w:t xml:space="preserve">2. </w:t>
      </w:r>
      <w:r>
        <w:rPr>
          <w:b w:val="0"/>
          <w:i w:val="0"/>
        </w:rPr>
        <w:t>O'lcham kichraygan sari solishtirma sirt, eruvchanlik, diffuziya va katalitik faollik ortadi, erish harorati va cho'kish tezligi pasayadi; 1–10 nm oralig'ida kvant-o'lcham effekti ustunlik qiladi.</w:t>
      </w:r>
    </w:p>
    <w:p>
      <w:pPr>
        <w:spacing w:after="40"/>
        <w:ind w:left="425" w:hanging="283"/>
        <w:jc w:val="both"/>
      </w:pPr>
      <w:r>
        <w:t xml:space="preserve">3. </w:t>
      </w:r>
      <w:r>
        <w:rPr>
          <w:b w:val="0"/>
          <w:i w:val="0"/>
        </w:rPr>
        <w:t>Shakl anizotropiyasi plazmon rezonansini IQ sohaga siljitish, kristall yuzalar orqali katalitik selektivlikni boshqarish va reologik xossalarni o'zgartirish imkonini beradi.</w:t>
      </w:r>
    </w:p>
    <w:p>
      <w:pPr>
        <w:spacing w:after="40"/>
        <w:ind w:left="425" w:hanging="283"/>
        <w:jc w:val="both"/>
      </w:pPr>
      <w:r>
        <w:t xml:space="preserve">4. </w:t>
      </w:r>
      <w:r>
        <w:rPr>
          <w:b w:val="0"/>
          <w:i w:val="0"/>
        </w:rPr>
        <w:t>Sirt modifikatsiyasi DLVO to'sig'ini oshirib agregativ barqarorlikni ta'minlaydi, zarrachani kerakli muhitga moslaydi va maqsadli funksiya beradi; |ζ| &gt; 30 mV yoki sterik qobiq — barqarorlikning amaliy mezoni.</w:t>
      </w:r>
    </w:p>
    <w:p>
      <w:pPr>
        <w:spacing w:after="40"/>
        <w:ind w:left="425" w:hanging="283"/>
        <w:jc w:val="both"/>
      </w:pPr>
      <w:r>
        <w:t xml:space="preserve">5. </w:t>
      </w:r>
      <w:r>
        <w:rPr>
          <w:b w:val="0"/>
          <w:i w:val="0"/>
        </w:rPr>
        <w:t>Uchala omil o'zaro bog'liq, shuning uchun nanokolloidni loyihalashda ular birgalikda, DLS–TEM–ζ-potensial–UV-Vis kompleks nazorati ostida optimallashtirilishi lozim.</w:t>
      </w:r>
    </w:p>
    <w:p>
      <w:pPr>
        <w:pStyle w:val="Heading1"/>
      </w:pPr>
      <w:r>
        <w:t>Foydalanilgan adabiyotlar</w:t>
      </w:r>
    </w:p>
    <w:p>
      <w:pPr>
        <w:spacing w:after="40"/>
        <w:jc w:val="both"/>
      </w:pPr>
      <w:r>
        <w:rPr>
          <w:sz w:val="22"/>
        </w:rPr>
        <w:t>1. Hiemenz P.C., Rajagopalan R. Principles of Colloid and Surface Chemistry. 3rd ed. – New York: Marcel Dekker, 1997.</w:t>
      </w:r>
    </w:p>
    <w:p>
      <w:pPr>
        <w:spacing w:after="40"/>
        <w:jc w:val="both"/>
      </w:pPr>
      <w:r>
        <w:rPr>
          <w:sz w:val="22"/>
        </w:rPr>
        <w:t>2. Cao G., Wang Y. Nanostructures and Nanomaterials: Synthesis, Properties and Applications. 2nd ed. – World Scientific, 2011.</w:t>
      </w:r>
    </w:p>
    <w:p>
      <w:pPr>
        <w:spacing w:after="40"/>
        <w:jc w:val="both"/>
      </w:pPr>
      <w:r>
        <w:rPr>
          <w:sz w:val="22"/>
        </w:rPr>
        <w:t>3. Israelachvili J.N. Intermolecular and Surface Forces. 3rd ed. – Academic Press, 2011.</w:t>
      </w:r>
    </w:p>
    <w:p>
      <w:pPr>
        <w:spacing w:after="40"/>
        <w:jc w:val="both"/>
      </w:pPr>
      <w:r>
        <w:rPr>
          <w:sz w:val="22"/>
        </w:rPr>
        <w:t>4. Roduner E. Size matters: why nanomaterials are different // Chem. Soc. Rev. – 2006. – Vol. 35. – P. 583–592.</w:t>
      </w:r>
    </w:p>
    <w:p>
      <w:pPr>
        <w:spacing w:after="40"/>
        <w:jc w:val="both"/>
      </w:pPr>
      <w:r>
        <w:rPr>
          <w:sz w:val="22"/>
        </w:rPr>
        <w:t>5. Brus L.E. Electron–electron and electron-hole interactions in small semiconductor crystallites // J. Chem. Phys. – 1984. – Vol. 80. – P. 4403–4409.</w:t>
      </w:r>
    </w:p>
    <w:p>
      <w:pPr>
        <w:spacing w:after="40"/>
        <w:jc w:val="both"/>
      </w:pPr>
      <w:r>
        <w:rPr>
          <w:sz w:val="22"/>
        </w:rPr>
        <w:t>6. Burda C., Chen X., Narayanan R., El-Sayed M.A. Chemistry and properties of nanocrystals of different shapes // Chem. Rev. – 2005. – Vol. 105. – P. 1025–1102.</w:t>
      </w:r>
    </w:p>
    <w:p>
      <w:pPr>
        <w:spacing w:after="40"/>
        <w:jc w:val="both"/>
      </w:pPr>
      <w:r>
        <w:rPr>
          <w:sz w:val="22"/>
        </w:rPr>
        <w:t>7. Sperling R.A., Parak W.J. Surface modification, functionalization and bioconjugation of colloidal inorganic nanoparticles // Phil. Trans. R. Soc. A. – 2010. – Vol. 368. – P. 1333–1383.</w:t>
      </w:r>
    </w:p>
    <w:p>
      <w:pPr>
        <w:spacing w:after="40"/>
        <w:jc w:val="both"/>
      </w:pPr>
      <w:r>
        <w:rPr>
          <w:sz w:val="22"/>
        </w:rPr>
        <w:t>8. Фролов Ю.Г. Курс коллоидной химии. Поверхностные явления и дисперсные системы. – М.: Химия, 2004.</w:t>
      </w:r>
    </w:p>
    <w:p>
      <w:pPr>
        <w:spacing w:after="40"/>
        <w:jc w:val="both"/>
      </w:pPr>
      <w:r>
        <w:rPr>
          <w:sz w:val="22"/>
        </w:rPr>
        <w:t>9. Ahmedov Q.R., Qurbonov A.R. Kolloid kimyo. – Toshkent: O'zbekiston, 2012.</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